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1B8" w:rsidRPr="000061B8" w:rsidRDefault="000061B8" w:rsidP="000061B8">
      <w:pPr>
        <w:suppressAutoHyphens/>
        <w:overflowPunct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0061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zh-CN"/>
        </w:rPr>
        <w:t>Додаток</w:t>
      </w:r>
    </w:p>
    <w:p w:rsidR="000061B8" w:rsidRPr="000061B8" w:rsidRDefault="000061B8" w:rsidP="000061B8">
      <w:pPr>
        <w:suppressAutoHyphens/>
        <w:overflowPunct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0061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zh-CN"/>
        </w:rPr>
        <w:t>до питання 4 педагогічної ради</w:t>
      </w:r>
    </w:p>
    <w:p w:rsidR="000061B8" w:rsidRPr="000061B8" w:rsidRDefault="000061B8" w:rsidP="000061B8">
      <w:pPr>
        <w:suppressAutoHyphens/>
        <w:overflowPunct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0061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zh-CN"/>
        </w:rPr>
        <w:t>від 12.01.2023 року №1</w:t>
      </w:r>
    </w:p>
    <w:p w:rsidR="00485CB9" w:rsidRDefault="00485CB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CB9" w:rsidRDefault="00F74034">
      <w:pPr>
        <w:pStyle w:val="ad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485CB9" w:rsidRDefault="00F740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стан викладання та рівень навчальних досягнень учнів </w:t>
      </w:r>
    </w:p>
    <w:p w:rsidR="00485CB9" w:rsidRDefault="00F740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української літератури в 10-11 класах </w:t>
      </w:r>
    </w:p>
    <w:p w:rsidR="00485CB9" w:rsidRDefault="00F740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Ніжинського обласного педагогічного ліцею </w:t>
      </w:r>
    </w:p>
    <w:p w:rsidR="00485CB9" w:rsidRDefault="00F740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Чернігівської обласної ради</w:t>
      </w:r>
    </w:p>
    <w:p w:rsidR="00485CB9" w:rsidRDefault="00485CB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5CB9" w:rsidRDefault="00F74034" w:rsidP="00F2716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 виконання річного плану роботи ліцею, наказу по ліцею від 01.09.2022 №  «Про вивчення стану викладання навчальних дисциплін у 2022-2023 н.р.» із 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.11.2022 р. по 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</w:rPr>
        <w:t>.12.2022 р. експертною групою у складі: голова експертної групи – директор ліцею Т. Шевчук; заступник голови експертної групи – заступник директора з НВР С. Карпенко; члени експертної групи: заступник директора з ВР Т. Вантух, голова кафедри вчителів іноземних мов ліцею С. Мухінська, голова кафедри вчителів суспільно-гуманітарних дисциплін А. Іващенко, голова кафедри вчителів природничо-математичних дисциплін Т. Шмаглій, голова кафедри вчителів фізичної культури, Захисту України та вихователів І. Гах, вивчався стан викладання та рівень на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чальних досягнень учнів із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української</w:t>
      </w:r>
      <w:r>
        <w:rPr>
          <w:rFonts w:ascii="Times New Roman" w:hAnsi="Times New Roman" w:cs="Times New Roman"/>
          <w:sz w:val="24"/>
          <w:szCs w:val="24"/>
        </w:rPr>
        <w:t xml:space="preserve"> літератури.</w:t>
      </w:r>
    </w:p>
    <w:p w:rsidR="00485CB9" w:rsidRDefault="00F74034" w:rsidP="00F27161">
      <w:pPr>
        <w:spacing w:after="0" w:line="36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Узагальнення  стану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викладання здійснено на основі вивчення навчально-матеріальної бази викладання предмета, вчительської та учнівської документації, рівня навчальних досягнень учнів, проведених співбесід із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чителями та учнями, відвіданих  уроків та позакласних заходів,  аналізу рекомендацій, наданих у 2017-2018 н.р.</w:t>
      </w:r>
    </w:p>
    <w:p w:rsidR="00485CB9" w:rsidRDefault="00F74034" w:rsidP="00F271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Основні завдання перевірки:</w:t>
      </w:r>
    </w:p>
    <w:p w:rsidR="00485CB9" w:rsidRDefault="00F74034" w:rsidP="00F27161">
      <w:pPr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виконання програми з предмета «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Українська література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85CB9" w:rsidRDefault="00F74034" w:rsidP="00F271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рівень навчальних досягнень учнів;</w:t>
      </w:r>
    </w:p>
    <w:p w:rsidR="00485CB9" w:rsidRDefault="00F74034" w:rsidP="00F27161">
      <w:pPr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навчально-матеріальна база із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української</w:t>
      </w:r>
      <w:r>
        <w:rPr>
          <w:rFonts w:ascii="Times New Roman" w:hAnsi="Times New Roman" w:cs="Times New Roman"/>
          <w:sz w:val="24"/>
          <w:szCs w:val="24"/>
        </w:rPr>
        <w:t xml:space="preserve"> літератури; </w:t>
      </w:r>
    </w:p>
    <w:p w:rsidR="00485CB9" w:rsidRDefault="00F74034" w:rsidP="00F271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підготовка вчителя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уроку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(наявність та якість поурочних і календарно-тематичних планів, методика та науково-теоретичний рівень викладання предмету);</w:t>
      </w:r>
    </w:p>
    <w:p w:rsidR="00485CB9" w:rsidRDefault="00F74034" w:rsidP="00F271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навчально-виховна діяльність вчителя (відповідність змісту уроків вимогам навчальної програми, використання форм і методів перевірки рівня навчальних досягнень учнів, упровадження активних форм і методів навчання, використання наочності та сучасних технологій у освітньому процесі, використання міжпредметних зв’язків).</w:t>
      </w:r>
    </w:p>
    <w:p w:rsidR="00485CB9" w:rsidRDefault="00F74034" w:rsidP="00F271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 перевірки:</w:t>
      </w:r>
    </w:p>
    <w:p w:rsidR="00485CB9" w:rsidRDefault="00F74034" w:rsidP="00F2716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співбесіда з учителем;</w:t>
      </w:r>
    </w:p>
    <w:p w:rsidR="00485CB9" w:rsidRDefault="00F74034" w:rsidP="00F2716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перевірка документації: календарно-тематичних планів, класних журналів, зошитів;</w:t>
      </w:r>
    </w:p>
    <w:p w:rsidR="00485CB9" w:rsidRDefault="00F74034" w:rsidP="00F2716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ознайомлення з методичним забезпеченням предмета;</w:t>
      </w:r>
    </w:p>
    <w:p w:rsidR="00485CB9" w:rsidRDefault="00F74034" w:rsidP="00F2716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відвідування уроків;</w:t>
      </w:r>
    </w:p>
    <w:p w:rsidR="00485CB9" w:rsidRDefault="00F74034" w:rsidP="00F2716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стану виконання наданих рекомендацій.</w:t>
      </w:r>
    </w:p>
    <w:p w:rsidR="00F27161" w:rsidRDefault="00F27161" w:rsidP="00F271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85CB9" w:rsidRPr="00F27161" w:rsidRDefault="00F74034" w:rsidP="00F2716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Нормативне та навчально-методичне забезпечення предмет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Українська </w:t>
      </w:r>
      <w:r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5CB9" w:rsidRPr="000061B8" w:rsidRDefault="00F74034" w:rsidP="00B1117A">
      <w:pPr>
        <w:pStyle w:val="aa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0061B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лист</w:t>
      </w:r>
      <w:r w:rsidRPr="00F27161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и</w:t>
      </w:r>
      <w:r w:rsidRPr="000061B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МОНУ </w:t>
      </w:r>
      <w:r w:rsidRPr="000061B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30.06.2022 № 1/7322-22 «Про організацію 2022/2023 навчального року»;</w:t>
      </w:r>
      <w:r w:rsidRPr="000061B8">
        <w:rPr>
          <w:rFonts w:ascii="Times New Roman" w:hAnsi="Times New Roman" w:cs="Times New Roman"/>
          <w:sz w:val="24"/>
          <w:szCs w:val="24"/>
          <w:lang w:val="uk-UA"/>
        </w:rPr>
        <w:t xml:space="preserve"> від 19.08.2022 №</w:t>
      </w:r>
      <w:r w:rsidRPr="00F27161">
        <w:rPr>
          <w:rFonts w:ascii="Times New Roman" w:hAnsi="Times New Roman" w:cs="Times New Roman"/>
          <w:sz w:val="24"/>
          <w:szCs w:val="24"/>
        </w:rPr>
        <w:t> </w:t>
      </w:r>
      <w:r w:rsidRPr="000061B8">
        <w:rPr>
          <w:rFonts w:ascii="Times New Roman" w:hAnsi="Times New Roman" w:cs="Times New Roman"/>
          <w:sz w:val="24"/>
          <w:szCs w:val="24"/>
          <w:lang w:val="uk-UA"/>
        </w:rPr>
        <w:t>1/9530-22 «Інструктивно-методичні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році».</w:t>
      </w:r>
    </w:p>
    <w:p w:rsidR="00485CB9" w:rsidRPr="00F27161" w:rsidRDefault="00F74034" w:rsidP="00B1117A">
      <w:pPr>
        <w:pStyle w:val="aa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F27161">
        <w:rPr>
          <w:rFonts w:ascii="Times New Roman" w:hAnsi="Times New Roman" w:cs="Times New Roman"/>
        </w:rPr>
        <w:t>«</w:t>
      </w:r>
      <w:r w:rsidRPr="00F27161">
        <w:rPr>
          <w:rFonts w:ascii="Times New Roman" w:hAnsi="Times New Roman" w:cs="Times New Roman"/>
          <w:lang w:val="uk-UA"/>
        </w:rPr>
        <w:t>У</w:t>
      </w:r>
      <w:r w:rsidRPr="00F27161">
        <w:rPr>
          <w:rFonts w:ascii="Times New Roman" w:hAnsi="Times New Roman" w:cs="Times New Roman"/>
        </w:rPr>
        <w:t>країнська література. Програма для загальноосвітніх навчальних закладів. 10</w:t>
      </w:r>
      <w:r w:rsidRPr="00F27161">
        <w:rPr>
          <w:rFonts w:ascii="Times New Roman" w:hAnsi="Times New Roman" w:cs="Times New Roman"/>
          <w:lang w:val="uk-UA"/>
        </w:rPr>
        <w:t>-11</w:t>
      </w:r>
      <w:r w:rsidRPr="00F27161">
        <w:rPr>
          <w:rFonts w:ascii="Times New Roman" w:hAnsi="Times New Roman" w:cs="Times New Roman"/>
        </w:rPr>
        <w:t xml:space="preserve"> клас</w:t>
      </w:r>
      <w:r w:rsidRPr="00F27161">
        <w:rPr>
          <w:rFonts w:ascii="Times New Roman" w:hAnsi="Times New Roman" w:cs="Times New Roman"/>
          <w:lang w:val="uk-UA"/>
        </w:rPr>
        <w:t>и</w:t>
      </w:r>
      <w:r w:rsidRPr="00F27161">
        <w:rPr>
          <w:rFonts w:ascii="Times New Roman" w:hAnsi="Times New Roman" w:cs="Times New Roman"/>
        </w:rPr>
        <w:t>. Рівень стандарту» / Р.</w:t>
      </w:r>
      <w:r w:rsidRPr="00F27161">
        <w:rPr>
          <w:rFonts w:ascii="Times New Roman" w:hAnsi="Times New Roman" w:cs="Times New Roman"/>
          <w:lang w:val="uk-UA"/>
        </w:rPr>
        <w:t> </w:t>
      </w:r>
      <w:r w:rsidRPr="00F27161">
        <w:rPr>
          <w:rFonts w:ascii="Times New Roman" w:hAnsi="Times New Roman" w:cs="Times New Roman"/>
        </w:rPr>
        <w:t>В. Мовчан, С.</w:t>
      </w:r>
      <w:r w:rsidRPr="00F27161">
        <w:rPr>
          <w:rFonts w:ascii="Times New Roman" w:hAnsi="Times New Roman" w:cs="Times New Roman"/>
          <w:lang w:val="uk-UA"/>
        </w:rPr>
        <w:t> </w:t>
      </w:r>
      <w:r w:rsidRPr="00F27161">
        <w:rPr>
          <w:rFonts w:ascii="Times New Roman" w:hAnsi="Times New Roman" w:cs="Times New Roman"/>
        </w:rPr>
        <w:t>Р.</w:t>
      </w:r>
      <w:r w:rsidRPr="00F27161">
        <w:rPr>
          <w:rFonts w:ascii="Times New Roman" w:hAnsi="Times New Roman" w:cs="Times New Roman"/>
          <w:lang w:val="uk-UA"/>
        </w:rPr>
        <w:t> </w:t>
      </w:r>
      <w:r w:rsidRPr="00F27161">
        <w:rPr>
          <w:rFonts w:ascii="Times New Roman" w:hAnsi="Times New Roman" w:cs="Times New Roman"/>
        </w:rPr>
        <w:t>Молочко, Д.</w:t>
      </w:r>
      <w:r w:rsidRPr="00F27161">
        <w:rPr>
          <w:rFonts w:ascii="Times New Roman" w:hAnsi="Times New Roman" w:cs="Times New Roman"/>
          <w:lang w:val="uk-UA"/>
        </w:rPr>
        <w:t> </w:t>
      </w:r>
      <w:r w:rsidRPr="00F27161">
        <w:rPr>
          <w:rFonts w:ascii="Times New Roman" w:hAnsi="Times New Roman" w:cs="Times New Roman"/>
        </w:rPr>
        <w:t xml:space="preserve">І. </w:t>
      </w:r>
      <w:proofErr w:type="gramStart"/>
      <w:r w:rsidRPr="00F27161">
        <w:rPr>
          <w:rFonts w:ascii="Times New Roman" w:hAnsi="Times New Roman" w:cs="Times New Roman"/>
        </w:rPr>
        <w:t xml:space="preserve">Дроздовський,   </w:t>
      </w:r>
      <w:proofErr w:type="gramEnd"/>
      <w:r w:rsidRPr="00F27161">
        <w:rPr>
          <w:rFonts w:ascii="Times New Roman" w:hAnsi="Times New Roman" w:cs="Times New Roman"/>
        </w:rPr>
        <w:t xml:space="preserve">                      Л.</w:t>
      </w:r>
      <w:r w:rsidRPr="00F27161">
        <w:rPr>
          <w:rFonts w:ascii="Times New Roman" w:hAnsi="Times New Roman" w:cs="Times New Roman"/>
          <w:lang w:val="uk-UA"/>
        </w:rPr>
        <w:t> </w:t>
      </w:r>
      <w:r w:rsidRPr="00F27161">
        <w:rPr>
          <w:rFonts w:ascii="Times New Roman" w:hAnsi="Times New Roman" w:cs="Times New Roman"/>
        </w:rPr>
        <w:t>Т.Коваленко та ін.</w:t>
      </w:r>
      <w:r w:rsidRPr="00F27161">
        <w:rPr>
          <w:rFonts w:ascii="Times New Roman" w:hAnsi="Times New Roman" w:cs="Times New Roman"/>
          <w:lang w:val="uk-UA"/>
        </w:rPr>
        <w:t xml:space="preserve"> </w:t>
      </w:r>
      <w:r w:rsidRPr="00F27161">
        <w:rPr>
          <w:rFonts w:ascii="Times New Roman" w:hAnsi="Times New Roman" w:cs="Times New Roman"/>
        </w:rPr>
        <w:t>К</w:t>
      </w:r>
      <w:r w:rsidRPr="00F27161">
        <w:rPr>
          <w:rFonts w:ascii="Times New Roman" w:hAnsi="Times New Roman" w:cs="Times New Roman"/>
          <w:lang w:val="uk-UA"/>
        </w:rPr>
        <w:t>иїв</w:t>
      </w:r>
      <w:r w:rsidRPr="00F27161">
        <w:rPr>
          <w:rFonts w:ascii="Times New Roman" w:hAnsi="Times New Roman" w:cs="Times New Roman"/>
        </w:rPr>
        <w:t>, 2017 (гриф надано наказом МОНУ від 23.10.2017 р. № 140</w:t>
      </w:r>
      <w:r w:rsidRPr="00F27161">
        <w:rPr>
          <w:rFonts w:ascii="Times New Roman" w:hAnsi="Times New Roman" w:cs="Times New Roman"/>
          <w:lang w:val="uk-UA"/>
        </w:rPr>
        <w:t xml:space="preserve">7 </w:t>
      </w:r>
      <w:r w:rsidRPr="00F27161">
        <w:rPr>
          <w:rFonts w:ascii="Times New Roman" w:hAnsi="Times New Roman" w:cs="Times New Roman"/>
        </w:rPr>
        <w:t>)</w:t>
      </w:r>
      <w:r w:rsidRPr="00F27161">
        <w:rPr>
          <w:rFonts w:ascii="Times New Roman" w:hAnsi="Times New Roman" w:cs="Times New Roman"/>
          <w:lang w:val="uk-UA"/>
        </w:rPr>
        <w:t>.</w:t>
      </w:r>
    </w:p>
    <w:p w:rsidR="00485CB9" w:rsidRPr="00F27161" w:rsidRDefault="00F74034" w:rsidP="00B1117A">
      <w:pPr>
        <w:pStyle w:val="aa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F27161">
        <w:rPr>
          <w:rFonts w:ascii="Times New Roman" w:hAnsi="Times New Roman" w:cs="Times New Roman"/>
          <w:lang w:val="uk-UA"/>
        </w:rPr>
        <w:t>Програма  з української літератури для 10-11 класів загальноосвітніх навчальних закладів з українською мовою навчання. – Профільний рівень/ Усатенко Г.О., Фасоля А.М. (Наказ МОН України від 23.10.2017 р. №1407 )</w:t>
      </w:r>
    </w:p>
    <w:p w:rsidR="00485CB9" w:rsidRDefault="00F74034" w:rsidP="00F2716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Кількість учнів, що вивчають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українську</w:t>
      </w:r>
      <w:r>
        <w:rPr>
          <w:rFonts w:ascii="Times New Roman" w:hAnsi="Times New Roman" w:cs="Times New Roman"/>
          <w:sz w:val="24"/>
          <w:szCs w:val="24"/>
        </w:rPr>
        <w:t xml:space="preserve"> літературу в </w:t>
      </w:r>
      <w:r>
        <w:rPr>
          <w:rFonts w:ascii="Times New Roman" w:hAnsi="Times New Roman" w:cs="Times New Roman"/>
          <w:sz w:val="24"/>
          <w:szCs w:val="24"/>
          <w:lang w:val="uk-UA"/>
        </w:rPr>
        <w:t>2022-2023 н.р.</w:t>
      </w:r>
      <w:r>
        <w:rPr>
          <w:rFonts w:ascii="Times New Roman" w:hAnsi="Times New Roman" w:cs="Times New Roman"/>
          <w:sz w:val="24"/>
          <w:szCs w:val="24"/>
        </w:rPr>
        <w:t>— 179, на профільному рівні</w:t>
      </w:r>
      <w:r>
        <w:rPr>
          <w:rFonts w:ascii="Times New Roman" w:hAnsi="Times New Roman" w:cs="Times New Roman"/>
          <w:sz w:val="24"/>
          <w:szCs w:val="24"/>
          <w:lang w:val="uk-UA"/>
        </w:rPr>
        <w:t>- 59.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Українську </w:t>
      </w:r>
      <w:r>
        <w:rPr>
          <w:rFonts w:ascii="Times New Roman" w:hAnsi="Times New Roman" w:cs="Times New Roman"/>
          <w:sz w:val="24"/>
          <w:szCs w:val="24"/>
        </w:rPr>
        <w:t xml:space="preserve">літературу в ліцеї викладають: </w:t>
      </w:r>
    </w:p>
    <w:p w:rsidR="00485CB9" w:rsidRPr="000061B8" w:rsidRDefault="00F74034" w:rsidP="00F27161">
      <w:pPr>
        <w:shd w:val="clear" w:color="auto" w:fill="FFFFFF"/>
        <w:spacing w:after="0" w:line="36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Юрій Іванович Бондаренко – </w:t>
      </w:r>
      <w:r>
        <w:rPr>
          <w:rFonts w:ascii="Times New Roman" w:hAnsi="Times New Roman" w:cs="Times New Roman"/>
          <w:sz w:val="24"/>
          <w:szCs w:val="24"/>
          <w:lang w:val="uk-UA"/>
        </w:rPr>
        <w:t>учитель української літератури, доктор педагогічних наук, професор, завідувач кафедри літератури, методики її навчання, історії культури та журналістики НДУ імені Миколи Гоголя, спеціаліст вищої категорії, вчитель-методист, керівник науково-дослідницьких робіт із української літератури учнів - членів МАНУ. Має 34 роки педагогічного стажу, 7 годин тижневого навантаження.</w:t>
      </w:r>
    </w:p>
    <w:p w:rsidR="00485CB9" w:rsidRDefault="00F74034" w:rsidP="00F27161">
      <w:pPr>
        <w:shd w:val="clear" w:color="auto" w:fill="FFFFFF"/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Оксана Миколаївна Капленко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учитель української літератури, кандидат філологічних наук, доцент кафедри літератури, методики її навчання, історії культури та журналістики НДУ імені Миколи Гоголя, спеціаліст вищої категорії, керівник науково-дослідницьких робіт із української літератури учнів - членів МАНУ..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Має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21 рік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педагогічного стажу,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8 годин тижневого навантаження.</w:t>
      </w:r>
    </w:p>
    <w:p w:rsidR="00485CB9" w:rsidRPr="000061B8" w:rsidRDefault="00F74034" w:rsidP="00F2716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Наталія Олексіївна Івахно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учитель української мови та літератури, аспірантка кафедри літератури, методики її навчання, історії культури та журналістики НДУ імені Миколи Гоголя, керівник гуртка “Мистецтво слова” (10 тар. розряд), керує науково-дослідницькими роботами  учнів - членів МАНУ..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Має кваліфікаційну категорію «спеціаліст другої категорії», 3 роки педагогічного стажу, 2 години тижневого навантаження з української літератури.</w:t>
      </w:r>
    </w:p>
    <w:p w:rsidR="00485CB9" w:rsidRDefault="00F74034" w:rsidP="00F27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Учні на 100% забезпечені підручниками для 10 та 11 класу:</w:t>
      </w:r>
    </w:p>
    <w:p w:rsidR="00485CB9" w:rsidRDefault="00F74034" w:rsidP="00F27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література. Рівень стандарту: підручник для 10 кл. закладів загальної середньої освіти / А. М. Фасоля, Т. О. Яценко, В. В. Уліщенко, Г. Л. Бійчук, В. М. Тименко. Київ: Педагогічна думка, 2018. 192 с.: </w:t>
      </w:r>
    </w:p>
    <w:p w:rsidR="00485CB9" w:rsidRDefault="00F74034" w:rsidP="00F27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література (рівень стандарту): підручник для 11 кл закладів загальної середньої освіти / А. М. Фасоля, Т. О. Яценко, В. В. Уліщенко, В. М. Тименко, Г. Л. Бійчук. Київ: УОВЦ «Оріон», 2019. 240 с.: </w:t>
      </w:r>
    </w:p>
    <w:p w:rsidR="00485CB9" w:rsidRDefault="00F74034" w:rsidP="00F2716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літератури </w:t>
      </w:r>
      <w:r>
        <w:rPr>
          <w:rFonts w:ascii="Times New Roman" w:hAnsi="Times New Roman" w:cs="Times New Roman"/>
          <w:sz w:val="24"/>
          <w:szCs w:val="24"/>
        </w:rPr>
        <w:t>додатково застосову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>
        <w:rPr>
          <w:rFonts w:ascii="Times New Roman" w:hAnsi="Times New Roman" w:cs="Times New Roman"/>
          <w:sz w:val="24"/>
          <w:szCs w:val="24"/>
        </w:rPr>
        <w:t xml:space="preserve"> матеріал Інтернет-ресурс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. Учні мають можливість користуватися електронною версією підручників.  </w:t>
      </w:r>
    </w:p>
    <w:p w:rsidR="00485CB9" w:rsidRPr="00F27161" w:rsidRDefault="00F74034" w:rsidP="00F27161">
      <w:pPr>
        <w:spacing w:after="0" w:line="36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Згідно з навчальними планами кількість годин, що виділяється для вивчення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4"/>
          <w:szCs w:val="24"/>
        </w:rPr>
        <w:t xml:space="preserve">літератури, становить: у 10 класах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іноземної </w:t>
      </w:r>
      <w:r>
        <w:rPr>
          <w:rFonts w:ascii="Times New Roman" w:hAnsi="Times New Roman" w:cs="Times New Roman"/>
          <w:sz w:val="24"/>
          <w:szCs w:val="24"/>
        </w:rPr>
        <w:t>філології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математичного профілю та 11 класі математичного профілю </w:t>
      </w:r>
      <w:r>
        <w:rPr>
          <w:rFonts w:ascii="Times New Roman" w:hAnsi="Times New Roman" w:cs="Times New Roman"/>
          <w:sz w:val="24"/>
          <w:szCs w:val="24"/>
        </w:rPr>
        <w:t>– 2 год.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тиждень, у 10 та 11 класах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української</w:t>
      </w:r>
      <w:r>
        <w:rPr>
          <w:rFonts w:ascii="Times New Roman" w:hAnsi="Times New Roman" w:cs="Times New Roman"/>
          <w:sz w:val="24"/>
          <w:szCs w:val="24"/>
        </w:rPr>
        <w:t xml:space="preserve"> філології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4 год. на тиждень, у 11 класі іноземної філології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тиждень.</w:t>
      </w:r>
    </w:p>
    <w:p w:rsidR="00F27161" w:rsidRDefault="00F74034" w:rsidP="00F27161">
      <w:pPr>
        <w:spacing w:after="0" w:line="36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Календарне планування складено відповідно до вимог навчальних програм та «Інструктивно-методичних рекомендацій щодо організації освітнього процесу та викладання навчальних предметів у закладах загальної середньої освіти у 2022/2023 навчальному році», наданих у листі МОНУ від 19.08.2022 № 1/9530-22, розбіжності між календарними планами та записами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 журналах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відсутні.  Усі види літературної діяльності та обов“язкові види контролю виконуються.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Проте,  комісія при вивченні питання ведення класних журналів відзначила, що  мають місце випадки несвоєчасного виставлення до класних журналів</w:t>
      </w:r>
      <w:r w:rsidR="00F27161">
        <w:rPr>
          <w:rFonts w:ascii="Times New Roman" w:hAnsi="Times New Roman" w:cs="Times New Roman"/>
          <w:sz w:val="24"/>
          <w:szCs w:val="24"/>
          <w:lang w:val="uk-UA"/>
        </w:rPr>
        <w:t xml:space="preserve"> балів за обов’язкові види робот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чи записів змісту уроків. </w:t>
      </w:r>
      <w:r w:rsidR="00F27161">
        <w:rPr>
          <w:lang w:val="uk-UA"/>
        </w:rPr>
        <w:t xml:space="preserve"> </w:t>
      </w:r>
    </w:p>
    <w:p w:rsidR="00485CB9" w:rsidRPr="000061B8" w:rsidRDefault="00F74034" w:rsidP="00F27161">
      <w:pPr>
        <w:spacing w:after="0" w:line="36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Учителі мають поурочні плани. Їх</w:t>
      </w:r>
      <w:r w:rsidRPr="000061B8">
        <w:rPr>
          <w:rFonts w:ascii="Times New Roman" w:hAnsi="Times New Roman" w:cs="Times New Roman"/>
          <w:sz w:val="24"/>
          <w:szCs w:val="24"/>
          <w:lang w:val="uk-UA"/>
        </w:rPr>
        <w:t xml:space="preserve"> аналіз засвідчує ретельність підготовки до уроків,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намагання зробити їх цікавими  та результативними.Ч</w:t>
      </w:r>
      <w:r w:rsidRPr="000061B8">
        <w:rPr>
          <w:rFonts w:ascii="Times New Roman" w:hAnsi="Times New Roman" w:cs="Times New Roman"/>
          <w:sz w:val="24"/>
          <w:szCs w:val="24"/>
          <w:lang w:val="uk-UA"/>
        </w:rPr>
        <w:t xml:space="preserve">ітко простежується системність у процесі навчання через застосування різних типів уроків: повторення, поглиблення, систематизацію, засвоєння знань, творче їх застосування на практиці, узагальнення, контроль і корекція знань для формування комунікативних компетентностей учнів. </w:t>
      </w:r>
    </w:p>
    <w:p w:rsidR="00485CB9" w:rsidRPr="00F27161" w:rsidRDefault="00F74034" w:rsidP="00F27161">
      <w:pPr>
        <w:spacing w:after="0" w:line="360" w:lineRule="auto"/>
        <w:ind w:firstLine="567"/>
        <w:jc w:val="both"/>
        <w:rPr>
          <w:lang w:val="uk-UA"/>
        </w:rPr>
      </w:pPr>
      <w:r w:rsidRPr="000061B8">
        <w:rPr>
          <w:rFonts w:ascii="Times New Roman" w:hAnsi="Times New Roman" w:cs="Times New Roman"/>
          <w:sz w:val="24"/>
          <w:szCs w:val="24"/>
          <w:lang w:val="uk-UA"/>
        </w:rPr>
        <w:t>В умовах дистанційного та змішаного навчання застосовуються такі форми онлайн-комунікації, як відеоконференції, текстові чати, електронна пошта, активно використову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0061B8">
        <w:rPr>
          <w:rFonts w:ascii="Times New Roman" w:hAnsi="Times New Roman" w:cs="Times New Roman"/>
          <w:sz w:val="24"/>
          <w:szCs w:val="24"/>
          <w:lang w:val="uk-UA"/>
        </w:rPr>
        <w:t xml:space="preserve">  цифрові інструменти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0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Заняття проходять на платформі</w:t>
      </w:r>
      <w:r>
        <w:rPr>
          <w:rFonts w:ascii="Times New Roman" w:hAnsi="Times New Roman" w:cs="Times New Roman"/>
          <w:color w:val="1F1F1F"/>
          <w:sz w:val="24"/>
          <w:szCs w:val="24"/>
          <w:lang w:val="uk-UA"/>
        </w:rPr>
        <w:t> Google Workspace for Education Fundamentals</w:t>
      </w:r>
    </w:p>
    <w:p w:rsidR="00485CB9" w:rsidRPr="000061B8" w:rsidRDefault="00F74034" w:rsidP="00F27161">
      <w:pPr>
        <w:spacing w:after="0" w:line="360" w:lineRule="auto"/>
        <w:ind w:firstLine="567"/>
        <w:jc w:val="both"/>
        <w:rPr>
          <w:lang w:val="uk-UA"/>
        </w:rPr>
      </w:pPr>
      <w:r w:rsidRPr="000061B8">
        <w:rPr>
          <w:rFonts w:ascii="Times New Roman" w:hAnsi="Times New Roman" w:cs="Times New Roman"/>
          <w:sz w:val="24"/>
          <w:szCs w:val="24"/>
          <w:lang w:val="uk-UA"/>
        </w:rPr>
        <w:t>Відвідані уроки, бесіди, проведені з вчител</w:t>
      </w:r>
      <w:r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Pr="000061B8">
        <w:rPr>
          <w:rFonts w:ascii="Times New Roman" w:hAnsi="Times New Roman" w:cs="Times New Roman"/>
          <w:sz w:val="24"/>
          <w:szCs w:val="24"/>
          <w:lang w:val="uk-UA"/>
        </w:rPr>
        <w:t xml:space="preserve"> та учнями, засвідчують партнерські стосунки та гуманізм у взаємовідносинах між учасниками освітнього процесу як на уроках, так і в позаурочний час, панує атмосфера довіри, доброзичливості педагогічного спілкування, уважного і тактовного ставлення до учнів.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своїй роботі педагоги активно впроваджують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інноваційні педагогічні технології (</w:t>
      </w:r>
      <w:r>
        <w:rPr>
          <w:rFonts w:ascii="Times New Roman" w:hAnsi="Times New Roman" w:cs="Times New Roman"/>
          <w:sz w:val="24"/>
          <w:szCs w:val="24"/>
          <w:lang w:val="uk-UA"/>
        </w:rPr>
        <w:t>ідеаційно-концептуальн</w:t>
      </w:r>
      <w:r>
        <w:rPr>
          <w:rFonts w:ascii="Times New Roman" w:hAnsi="Times New Roman"/>
          <w:sz w:val="24"/>
          <w:szCs w:val="24"/>
          <w:lang w:val="uk-UA"/>
        </w:rPr>
        <w:t>у, ґендерну, формування успішної особистості, ІТ-технології)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(електронні презентації, відео- та аудіо записи, онлайн-тестування),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наочність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(портрети письменників, узагальнюючі схеми, таблиці, графіки, діаграми, картки для виконання індивідуальних, групових, ігрових завдань тощо, асоціативні малюнки учнів),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інтерактивні форми навчання та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(робота в групах, парах, рольові ігри, круглі столи, дискусії, вікторини, змагання, творчі проєкти), що значно підвищує ефективність освітнього процесу. </w:t>
      </w:r>
    </w:p>
    <w:p w:rsidR="00485CB9" w:rsidRDefault="00F74034" w:rsidP="00F2716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Відвідані уроки свідчать, що вчителі української літератури обізнані зі структурою та вимогами навчальних програм. проводять необхідну кількості усних і письмових творів, уроків позакласного читання, уроків літератури рідного краю, виразного читання напам’ять, здійснюють оцінювання згідно з критеріями оцінювання навчальних досягнень учнів,  ознайомлені з методичними рекомендаціями щодо викладання предмету в поточному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навчальному році. Педагоги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моделюють освітній процес відповідно до сучасних вимог  та з урахуванням конкретних умов навчання, індивідуальних особливостей учнів. </w:t>
      </w:r>
    </w:p>
    <w:p w:rsidR="00485CB9" w:rsidRPr="00F27161" w:rsidRDefault="00F74034" w:rsidP="00F27161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Вчителі української літератури намагаються сформувати критичне мислення, креативність, довготривалу пам’ять, життєві компетентності, читацький інтерес старшокласників в урочний і позаурочний час.</w:t>
      </w:r>
    </w:p>
    <w:p w:rsidR="00485CB9" w:rsidRPr="000061B8" w:rsidRDefault="00F74034" w:rsidP="00F271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1B8">
        <w:rPr>
          <w:rFonts w:ascii="Times New Roman" w:hAnsi="Times New Roman" w:cs="Times New Roman"/>
          <w:sz w:val="24"/>
          <w:szCs w:val="24"/>
          <w:lang w:val="uk-UA"/>
        </w:rPr>
        <w:t>На засіданнях предметної кафедри вчителів суспільно-гуманітарних дисциплін розглядалися актуальні питання викладання літератури, педагоги активно діляться власним досвідом щодо викладання предмета.</w:t>
      </w:r>
    </w:p>
    <w:p w:rsidR="00485CB9" w:rsidRDefault="00F74034" w:rsidP="00F2716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Ефективно використовується виховний потенціал навчального матеріалу, міжпредметні зв’язки, позакласна робота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(предметні тижні). </w:t>
      </w:r>
      <w:r>
        <w:rPr>
          <w:rFonts w:ascii="Times New Roman" w:hAnsi="Times New Roman" w:cs="Times New Roman"/>
          <w:sz w:val="24"/>
          <w:szCs w:val="24"/>
        </w:rPr>
        <w:t>Ведеться робота щодо формування навичок самостійної роботи учнів, уміння висловлювати власну думку, інтерпретувати прочитане, робити власні висновки.</w:t>
      </w:r>
    </w:p>
    <w:p w:rsidR="00485CB9" w:rsidRDefault="00F74034" w:rsidP="00F271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Учителі кафедри брали участь у науково-практичних конференціях, підготували учнів до участі у конкурсах та науково-практичних конференціях (додається)</w:t>
      </w:r>
    </w:p>
    <w:p w:rsidR="00485CB9" w:rsidRDefault="00F74034" w:rsidP="00F2716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val="uk-UA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  <w:lang w:val="uk-UA" w:eastAsia="uk-UA"/>
        </w:rPr>
        <w:t>Під час вивчення стану викладання було проведено контрольні роботи, якими охоплено 156 учнів. Результати директорської контрольної роботи, виконаної у грудні 2022 р., показали наступні результати:</w:t>
      </w:r>
    </w:p>
    <w:tbl>
      <w:tblPr>
        <w:tblW w:w="10881" w:type="dxa"/>
        <w:tblInd w:w="-62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48"/>
        <w:gridCol w:w="1137"/>
        <w:gridCol w:w="873"/>
        <w:gridCol w:w="922"/>
        <w:gridCol w:w="845"/>
        <w:gridCol w:w="390"/>
        <w:gridCol w:w="845"/>
        <w:gridCol w:w="414"/>
        <w:gridCol w:w="845"/>
        <w:gridCol w:w="551"/>
        <w:gridCol w:w="845"/>
        <w:gridCol w:w="525"/>
        <w:gridCol w:w="613"/>
        <w:gridCol w:w="488"/>
        <w:gridCol w:w="613"/>
        <w:gridCol w:w="527"/>
      </w:tblGrid>
      <w:tr w:rsidR="00485CB9">
        <w:trPr>
          <w:trHeight w:val="210"/>
        </w:trPr>
        <w:tc>
          <w:tcPr>
            <w:tcW w:w="1087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 н.р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485CB9">
        <w:trPr>
          <w:trHeight w:val="56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ПІБ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 учнів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Початковий </w:t>
            </w:r>
          </w:p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Середній </w:t>
            </w:r>
          </w:p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рівень</w:t>
            </w:r>
          </w:p>
        </w:tc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Достатній </w:t>
            </w:r>
          </w:p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рівень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Високий </w:t>
            </w:r>
          </w:p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рівень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якості</w:t>
            </w:r>
          </w:p>
        </w:tc>
        <w:tc>
          <w:tcPr>
            <w:tcW w:w="1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успішн.</w:t>
            </w:r>
          </w:p>
        </w:tc>
      </w:tr>
      <w:tr w:rsidR="00485CB9">
        <w:trPr>
          <w:trHeight w:val="257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485CB9" w:rsidP="00F27161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85CB9">
        <w:trPr>
          <w:trHeight w:val="229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Капленко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укр.філ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5CB9">
        <w:trPr>
          <w:trHeight w:val="147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Капленко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ін. філ.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(8)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5CB9">
        <w:trPr>
          <w:trHeight w:val="94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Капленко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  <w:p w:rsidR="00485CB9" w:rsidRDefault="00485CB9" w:rsidP="00F2716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5CB9">
        <w:trPr>
          <w:trHeight w:val="284"/>
        </w:trPr>
        <w:tc>
          <w:tcPr>
            <w:tcW w:w="2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72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485CB9">
        <w:trPr>
          <w:trHeight w:val="273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Івахно Н.О.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мат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5CB9">
        <w:trPr>
          <w:trHeight w:val="277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Бондаренко Ю.І.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ін. філ.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(1)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5CB9">
        <w:trPr>
          <w:trHeight w:val="28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Бондаренко Ю.І.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укр.філ.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5CB9">
        <w:trPr>
          <w:trHeight w:val="255"/>
        </w:trPr>
        <w:tc>
          <w:tcPr>
            <w:tcW w:w="2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</w:t>
            </w:r>
          </w:p>
        </w:tc>
      </w:tr>
      <w:tr w:rsidR="00485CB9">
        <w:trPr>
          <w:trHeight w:val="300"/>
        </w:trPr>
        <w:tc>
          <w:tcPr>
            <w:tcW w:w="2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відсутні  учні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 Усього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156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CB9" w:rsidRDefault="00F74034" w:rsidP="00F271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485CB9" w:rsidRDefault="00F74034" w:rsidP="00F27161">
      <w:pPr>
        <w:pStyle w:val="a6"/>
        <w:spacing w:line="360" w:lineRule="auto"/>
        <w:ind w:firstLine="426"/>
        <w:jc w:val="both"/>
      </w:pPr>
      <w:r>
        <w:rPr>
          <w:sz w:val="24"/>
          <w:szCs w:val="24"/>
        </w:rPr>
        <w:t>Результати контрольної роботи показали, що учні орієнтуються в особливостях як художнього матеріалу (засвоєння змісту літературних творів), так й історико-літературного, теоретичного. Проте припускаються помилок при в</w:t>
      </w:r>
      <w:r>
        <w:rPr>
          <w:color w:val="000000"/>
          <w:sz w:val="24"/>
          <w:szCs w:val="24"/>
        </w:rPr>
        <w:t>становленні відповідності між назвою</w:t>
      </w:r>
      <w:r>
        <w:rPr>
          <w:sz w:val="24"/>
          <w:szCs w:val="24"/>
        </w:rPr>
        <w:t xml:space="preserve"> художнього твору та його темою, персонажами, текстуальними цитатами, літературними напрямками. Їх доцільно опрацювати в процесі організації повторення вивченого матеріалу на уроці, а також на спецкурсах, консультаціях. </w:t>
      </w:r>
    </w:p>
    <w:p w:rsidR="00485CB9" w:rsidRDefault="00F74034" w:rsidP="00F27161">
      <w:pPr>
        <w:spacing w:after="0" w:line="360" w:lineRule="auto"/>
        <w:ind w:left="567" w:right="-28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Враховуючи вищезазначене, комісія рекомендує вважати стан викладання української літератури  задовільним, надає рекомендації:</w:t>
      </w:r>
    </w:p>
    <w:p w:rsidR="00A11FAD" w:rsidRDefault="00A11FAD" w:rsidP="00F27161">
      <w:pPr>
        <w:spacing w:after="0" w:line="360" w:lineRule="auto"/>
        <w:ind w:left="567" w:right="-28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5CB9" w:rsidRDefault="00F74034" w:rsidP="00F271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Адміністрації:</w:t>
      </w:r>
    </w:p>
    <w:p w:rsidR="00485CB9" w:rsidRDefault="00F74034" w:rsidP="00F271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забезпечити навчальну аудиторію № </w:t>
      </w:r>
      <w:r w:rsidR="00A11FAD">
        <w:rPr>
          <w:rFonts w:ascii="Times New Roman" w:hAnsi="Times New Roman" w:cs="Times New Roman"/>
          <w:sz w:val="24"/>
          <w:szCs w:val="24"/>
          <w:lang w:val="uk-UA"/>
        </w:rPr>
        <w:t>6 проєктором;</w:t>
      </w:r>
    </w:p>
    <w:p w:rsidR="00485CB9" w:rsidRDefault="00F74034" w:rsidP="00F27161">
      <w:pPr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- організувати </w:t>
      </w:r>
      <w:r>
        <w:rPr>
          <w:rFonts w:ascii="Times New Roman" w:hAnsi="Times New Roman"/>
          <w:sz w:val="24"/>
          <w:szCs w:val="24"/>
        </w:rPr>
        <w:t xml:space="preserve">участь </w:t>
      </w:r>
      <w:r>
        <w:rPr>
          <w:rFonts w:ascii="Times New Roman" w:hAnsi="Times New Roman" w:cs="Times New Roman"/>
          <w:sz w:val="24"/>
          <w:szCs w:val="24"/>
        </w:rPr>
        <w:t xml:space="preserve">педагогів у безкоштовному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дистанційному навчанні за програмою «Цифрові інструменти Google для освіти» від МОНУ і Google Україна до червня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2023 р;</w:t>
      </w:r>
    </w:p>
    <w:p w:rsidR="00485CB9" w:rsidRDefault="00F74034" w:rsidP="00F27161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- вести контроль 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станом навчання учнів, які знаходяться на дистанційному навчанні;</w:t>
      </w:r>
    </w:p>
    <w:p w:rsidR="00485CB9" w:rsidRDefault="00F74034" w:rsidP="00F27161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Голові предметної кафедри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85CB9" w:rsidRDefault="00F74034" w:rsidP="00F2716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-  уведення до планів кафедри питання  стану оформлення класних журналів;</w:t>
      </w:r>
    </w:p>
    <w:p w:rsidR="00485CB9" w:rsidRDefault="00F74034" w:rsidP="00F2716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- підготовку учнів до   обласного етапу  предметної олімпіади, конкурсу МАНУ інших літературних конкурсів;</w:t>
      </w:r>
    </w:p>
    <w:p w:rsidR="00485CB9" w:rsidRPr="00A11FAD" w:rsidRDefault="00F74034" w:rsidP="00A11FAD">
      <w:pPr>
        <w:spacing w:after="0" w:line="360" w:lineRule="auto"/>
        <w:ind w:left="36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щосеместровий контроль за  станом розміщення педагогами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>
        <w:rPr>
          <w:rFonts w:ascii="Times New Roman" w:hAnsi="Times New Roman" w:cs="Times New Roman"/>
          <w:sz w:val="24"/>
          <w:szCs w:val="24"/>
          <w:lang w:val="uk-UA"/>
        </w:rPr>
        <w:t>дат і видів обов’язкового контролю з  предмету.</w:t>
      </w:r>
    </w:p>
    <w:p w:rsidR="00485CB9" w:rsidRDefault="00F74034" w:rsidP="00F271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Учителям української літератури:</w:t>
      </w:r>
    </w:p>
    <w:p w:rsidR="00485CB9" w:rsidRDefault="00F74034" w:rsidP="00F271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організувати повторення/вивчення матеріалу, який був недостатньо засвоєний усіма або окремими учнями у період активних бойових дій на Чернігівщині.</w:t>
      </w:r>
    </w:p>
    <w:p w:rsidR="00485CB9" w:rsidRDefault="00A11FAD" w:rsidP="00A11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74034">
        <w:rPr>
          <w:rFonts w:ascii="Times New Roman" w:hAnsi="Times New Roman" w:cs="Times New Roman"/>
          <w:sz w:val="24"/>
          <w:szCs w:val="24"/>
          <w:lang w:val="uk-UA"/>
        </w:rPr>
        <w:t>- проаналізувати результати зрізу знань із учнями;</w:t>
      </w:r>
    </w:p>
    <w:p w:rsidR="00485CB9" w:rsidRDefault="00A11FAD" w:rsidP="00A11FA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4034">
        <w:rPr>
          <w:rFonts w:ascii="Times New Roman" w:hAnsi="Times New Roman" w:cs="Times New Roman"/>
          <w:sz w:val="24"/>
          <w:szCs w:val="24"/>
          <w:lang w:val="uk-UA"/>
        </w:rPr>
        <w:t>- своєчасно виставляти до класних журналів бали за обов’язкові види роботи.</w:t>
      </w:r>
    </w:p>
    <w:p w:rsidR="00485CB9" w:rsidRDefault="00A11FAD" w:rsidP="00A11FA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403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bookmarkStart w:id="0" w:name="__DdeLink__927_1411542967"/>
      <w:r w:rsidR="00F74034">
        <w:rPr>
          <w:rFonts w:ascii="Times New Roman" w:hAnsi="Times New Roman" w:cs="Times New Roman"/>
          <w:sz w:val="24"/>
          <w:szCs w:val="24"/>
          <w:lang w:val="uk-UA"/>
        </w:rPr>
        <w:t>підготувати перелік літер</w:t>
      </w:r>
      <w:r w:rsidR="00F05E29">
        <w:rPr>
          <w:rFonts w:ascii="Times New Roman" w:hAnsi="Times New Roman" w:cs="Times New Roman"/>
          <w:sz w:val="24"/>
          <w:szCs w:val="24"/>
          <w:lang w:val="uk-UA"/>
        </w:rPr>
        <w:t>атури з покликаннями на  тексти</w:t>
      </w:r>
      <w:r w:rsidR="00F74034">
        <w:rPr>
          <w:rFonts w:ascii="Times New Roman" w:hAnsi="Times New Roman" w:cs="Times New Roman"/>
          <w:sz w:val="24"/>
          <w:szCs w:val="24"/>
          <w:lang w:val="uk-UA"/>
        </w:rPr>
        <w:t xml:space="preserve"> плейлісти з аудіотекстами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034">
        <w:rPr>
          <w:rFonts w:ascii="Times New Roman" w:hAnsi="Times New Roman" w:cs="Times New Roman"/>
          <w:sz w:val="24"/>
          <w:szCs w:val="24"/>
          <w:lang w:val="uk-UA"/>
        </w:rPr>
        <w:t>програмових творів, перелік літератури з покликаннями на  тексти</w:t>
      </w:r>
      <w:bookmarkEnd w:id="0"/>
      <w:r w:rsidR="00F740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4034" w:rsidRDefault="00F74034" w:rsidP="00F27161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4034" w:rsidRDefault="00F74034" w:rsidP="00F27161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5CB9" w:rsidRDefault="00F74034" w:rsidP="00F27161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ліцею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Тетяна ШЕВЧУК</w:t>
      </w:r>
    </w:p>
    <w:p w:rsidR="00485CB9" w:rsidRDefault="00F74034" w:rsidP="00F27161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Світлана КАРПЕНКО</w:t>
      </w:r>
    </w:p>
    <w:p w:rsidR="00485CB9" w:rsidRDefault="00F74034" w:rsidP="00F27161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ВР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ВАНТУХ</w:t>
      </w:r>
    </w:p>
    <w:p w:rsidR="00485CB9" w:rsidRDefault="00F74034" w:rsidP="00F27161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кафедри вчителів </w:t>
      </w:r>
    </w:p>
    <w:p w:rsidR="00485CB9" w:rsidRDefault="00F74034" w:rsidP="00F27161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природничо-математичних дисциплін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ШМАГЛІЙ</w:t>
      </w:r>
    </w:p>
    <w:p w:rsidR="00485CB9" w:rsidRDefault="00F74034" w:rsidP="00F27161">
      <w:pPr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кафедри вчителів </w:t>
      </w:r>
    </w:p>
    <w:p w:rsidR="00485CB9" w:rsidRDefault="00F74034" w:rsidP="00F27161">
      <w:pPr>
        <w:spacing w:after="0" w:line="360" w:lineRule="auto"/>
        <w:ind w:left="567" w:right="-284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суспільно-гуманітарних дисциплін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Алла ІВАЩЕНКО</w:t>
      </w:r>
    </w:p>
    <w:p w:rsidR="00485CB9" w:rsidRDefault="00F74034" w:rsidP="00F27161">
      <w:pPr>
        <w:spacing w:after="0" w:line="360" w:lineRule="auto"/>
        <w:ind w:left="567" w:right="-284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кафедри вчителів іноземних мов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Світлана МУХІНСЬКА</w:t>
      </w:r>
    </w:p>
    <w:p w:rsidR="00485CB9" w:rsidRDefault="00F74034" w:rsidP="00F27161">
      <w:pPr>
        <w:spacing w:after="160" w:line="36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br w:type="page"/>
      </w:r>
    </w:p>
    <w:p w:rsidR="00F27161" w:rsidRPr="00F27161" w:rsidRDefault="00F27161" w:rsidP="00F27161">
      <w:pPr>
        <w:spacing w:line="360" w:lineRule="auto"/>
        <w:jc w:val="right"/>
        <w:rPr>
          <w:rFonts w:ascii="Times New Roman" w:hAnsi="Times New Roman" w:cs="Times New Roman"/>
          <w:lang w:val="uk-UA"/>
        </w:rPr>
      </w:pPr>
      <w:r w:rsidRPr="00F27161">
        <w:rPr>
          <w:rFonts w:ascii="Times New Roman" w:hAnsi="Times New Roman" w:cs="Times New Roman"/>
          <w:lang w:val="uk-UA"/>
        </w:rPr>
        <w:lastRenderedPageBreak/>
        <w:t>Додаток</w:t>
      </w:r>
    </w:p>
    <w:p w:rsidR="00F27161" w:rsidRPr="00F27161" w:rsidRDefault="00F27161" w:rsidP="00F271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271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УЧАСТЬ У НАУКОВО-ПРАКТИЧНИХ КОНФЕРЕНЦІЯХ</w:t>
      </w:r>
    </w:p>
    <w:p w:rsidR="00F27161" w:rsidRPr="00F27161" w:rsidRDefault="00F27161" w:rsidP="00F27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 Україні: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Ніжин, Глухів, Київ, Чернігів, Полтава</w:t>
      </w:r>
    </w:p>
    <w:p w:rsidR="00F27161" w:rsidRPr="00F27161" w:rsidRDefault="00F27161" w:rsidP="00F27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кордоном: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Влоцлавек (Республіка Польща) ПІБ УЧИТЕЛЯ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студентська науково-практична інтернет-конференція «Сучасні тенденції та перспективи мовно-літературної освіти в Україні» (20-21 лютого 2019 р., Глухів).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ІІ Всеукраїнська науково-практична конференція «Актуальні проблеми мовно-літературної освіти в середній та вищій школах» (4-5 квітня 2019 р. Київ, НПУ імені М. П. Драгоманова).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Всеукраїнські Грищенківські читання</w:t>
      </w:r>
      <w:r w:rsidRPr="00F27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27161">
        <w:rPr>
          <w:rFonts w:ascii="Times New Roman" w:hAnsi="Times New Roman" w:cs="Times New Roman"/>
          <w:sz w:val="24"/>
          <w:szCs w:val="24"/>
        </w:rPr>
        <w:t xml:space="preserve">27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вересня 2019 р., Ніжин, НДУ ім. М. Гоголя.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Дванадцята Всеукраїнська науково-практична конференція «Україна, українська мова – світ ХХІ століття у діалозі культурно-мовних, морально-громадянських цінностей особистості та педагогічних систем» (25 жовтня 2019 р., Київ, Київська гімназія східних наук №1).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Всеукраїнська науково-практична конференція до Дня української писемності і мови «Українська мова як чинник національної державності» (14-15 листопада 2019 р., Чернігів).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ІІІ Всеукраїнська науково-практична конференція «Актуальні проблеми розвитку держави і права: історико-правовий дискурс» (6 грудня 2019 р., Ніжин, Ніжинський обласний педагогічний ліцей Чернігівської обласної ради).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ІІ Всеукраїнська студентська науково-практична інтернет-конференція «Сучасні тенденції та перспективи мовно-літературної освіти в Україні» (19-20 лютого 2020 р., Глухів).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Всеукраїнська інтернет-конференція «Українська мова та література: ідеї та досвід викладання» (</w:t>
      </w:r>
      <w:r w:rsidRPr="00F27161">
        <w:rPr>
          <w:rFonts w:ascii="Times New Roman" w:hAnsi="Times New Roman" w:cs="Times New Roman"/>
          <w:sz w:val="24"/>
          <w:szCs w:val="24"/>
        </w:rPr>
        <w:t>3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 квітня 2020 р., освітній проект «На урок»).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студентська науково-практична інтернет-конференція «Арватівські читання – 2020» (15 квітня 2020 р., Ніжин, НДУ ім. М. Гоголя).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Конференція молодих науковців НДУ ім. М. Гоголя «Молодь у науці» (13 травня 2020 р., Ніжин, НДУ ім. М. Гоголя)</w:t>
      </w:r>
      <w:r w:rsidRPr="00F271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Міжнародна науково-практична конференція «Сучасні педагогіка та психологія: перспективні та пріоритетні напрями наукових досліджень» (10-11 липня 2020 р., Київ, Київська наукова організація педагогіки та психології).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Міжнародна науково-практична конференція «Наукова дискусія: питання педагогіки та психології» (4-5 грудня 2020 р., Київ, Київська наукова організація педагогіки та психології).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Всеукраїнська науково-практична інтернет-конференція «Літературна творчість представників Ніжинської вищої школи: гуманітарний дискурс» (29 січня 2021 р., Ніжин, НДУ ім. М. Гоголя).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ІІІ Усеукраїнська студентська науково-практична інтернет-конференція «Сучасні тенденції та перспективи мовно-літературної освіти в Україні» (17-18 лютого 2021 р., Глухів).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Міжнародна науково-практична конференція</w:t>
      </w:r>
      <w:r w:rsidRPr="00F27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«Педагогіка і психологія в сучасному світі:</w:t>
      </w:r>
      <w:r w:rsidRPr="00F27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мистецтво навчати та навчатися» (26–27 лютого 2021 р., Влоцлавек, Республіка Польща).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студентська науково-практична інтернет-конференція «Арватівські читання – 2021» (21 квітня 2021 р., Ніжин, НДУ ім. М. Гоголя).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науково-практична інтернет-конференція «Літературна творчість представників Ніжинської вищої школи: гуманітарний дискурс» (4 лютого 2022 р., Ніжин, НДУ ім. М. Гоголя).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ІV Усеукраїнська студентська науково-практична інтернет-конференція «Сучасні тенденції та перспективи мовно-літературної освіти в Україні» (17-18 лютого 2022 р., Глухів).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XV Всеукраїнська науково-практична конференція студентів і магістрантів «Основні тенденції розвитку лінгвістики, літературознавства й соціальних комунікацій» (19 квітня 2022 р., Полтава, Полтавський національний педагогічний університет імені В. Г. Короленка). 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Всеукраїнська студентська науково-практична інтернет-конференція «Арватівські читання – 2022» (20 травня 2022 р., Ніжин, НДУ ім. М. Гоголя).</w:t>
      </w:r>
    </w:p>
    <w:p w:rsidR="00F27161" w:rsidRPr="00F27161" w:rsidRDefault="00F27161" w:rsidP="00F27161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Конференція молодих науковців НДУ ім. М. Гоголя «Молодь у науці» (20 травня 2022 р., Ніжин, НДУ ім. М. Гоголя). </w:t>
      </w:r>
    </w:p>
    <w:p w:rsidR="00F27161" w:rsidRPr="00F27161" w:rsidRDefault="00F27161" w:rsidP="00F27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271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ПУБЛІКАЦІЇ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Івахно Н. О. Загальний огляд мовознавчого аспекту вивчення власних назв.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>Україна, українська мова – світ ХХІ століття у діалозі культурно-мовних, морально-громадянських цінностей особистості та педагогічних систем : ел. зб. статей за матеріалами Дванадцятої Всеукраїнської науково-практичної конференції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, м. Київ, 25 жовт. 2019 р. / [за наук. ред. Г. О. Васьківської]. Київ: Педагогічна думка, 2019. С. 107–112. (Серія: Дидактика: теорія і практика).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Івахно Н. О. Антропоніми як складник художнього твору: теоретичний аспект вивчення, система компетентностей.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>Сучасні педагогіка та психологія: перспективні та пріоритетні напрями наукових досліджень: матеріали міжнародної науково-практичної конференції.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 Київ: ГО «Київська наукова організація педагогіки та психології», 2020. Ч. 1. С. 58–60. 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Івахно Н. О. Теоретичні засади шкільного вивчення топонімів у літературному тексті: система компетенцій.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 Дрогобич: Видавничий дім «Гельветика», 2020. Вип. 28. Том 2. С. 99–103.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Івахно Н. О. Функції антропонімів у літературних творах шкільної програми: старші класи.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Вісник Запорізького національного університету. Педагогічні науки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№ 1 (34). 2020. С. 62-66. 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Івахно Н. О. Поглиблене вивчення власних назв у рамках пообразного аналізу літературного твору (на матеріалі текстів для старших класів).</w:t>
      </w:r>
      <w:r w:rsidRPr="00F27161">
        <w:rPr>
          <w:rFonts w:ascii="Times New Roman" w:hAnsi="Times New Roman" w:cs="Times New Roman"/>
          <w:sz w:val="24"/>
          <w:szCs w:val="24"/>
        </w:rPr>
        <w:t xml:space="preserve">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Наукова дискусія: питання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педагогіки та психології: матеріали міжнародної науково-практичної конференції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. Київ: ГО «Київська наукова організація педагогіки та психології», 2020. Ч. 1. С. 27–30. 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Івахно Н. О. Методика поглибленого вивчення власних назв у рамках жанрового та стильового напрямів дослідження літературного твору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F27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161">
        <w:rPr>
          <w:rFonts w:ascii="Times New Roman" w:hAnsi="Times New Roman" w:cs="Times New Roman"/>
          <w:i/>
          <w:sz w:val="24"/>
          <w:szCs w:val="24"/>
          <w:lang w:val="en-US"/>
        </w:rPr>
        <w:t>International scientific and practical conference “Pedagogy and Psychology in the Modern World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F271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art of teaching and learning”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F271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conference proceedings, February 26-27, 2021. </w:t>
      </w:r>
      <w:r w:rsidRPr="00F27161">
        <w:rPr>
          <w:rFonts w:ascii="Times New Roman" w:hAnsi="Times New Roman" w:cs="Times New Roman"/>
          <w:sz w:val="24"/>
          <w:szCs w:val="24"/>
          <w:lang w:val="en-US"/>
        </w:rPr>
        <w:t>Vol. 2. Riga, Latvia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: «</w:t>
      </w:r>
      <w:r w:rsidRPr="00F27161">
        <w:rPr>
          <w:rFonts w:ascii="Times New Roman" w:hAnsi="Times New Roman" w:cs="Times New Roman"/>
          <w:sz w:val="24"/>
          <w:szCs w:val="24"/>
          <w:lang w:val="en-US"/>
        </w:rPr>
        <w:t>Baltija Publishing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Pr="00F27161">
        <w:rPr>
          <w:rFonts w:ascii="Times New Roman" w:hAnsi="Times New Roman" w:cs="Times New Roman"/>
          <w:sz w:val="24"/>
          <w:szCs w:val="24"/>
          <w:lang w:val="en-US"/>
        </w:rPr>
        <w:t xml:space="preserve">Pp. 48-52. 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Івахно Н. О. Поглиблене вивчення функціональних можливостей власних назв у процесі пообразного аналізу художніх творів.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>Збірник тез доповідей Всеукраїнської студентської науково-практичної інтернет-конференції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, 21 квітня 2021 року / упоряд. А. І. Бондаренко, Н. М. Голуб, Н. М. Пасік, С. В. Цінько. Ніжин : НДУ ім. М. Гоголя, 2021. С. 122–124. 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Івахно Н. О. Методика роботи з власною назвою як регулятором вивчення динамічних образів-персонажів</w:t>
      </w:r>
      <w:r w:rsidRPr="00F27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KELM (Knowledge, Education, Law, Management)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№ 1(37), 2021. С. 39-43.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Івахно Н. О. Поглиблене вивчення власних назв у рамках жанрового та стильового напрямів дослідження літературного твору.</w:t>
      </w:r>
      <w:r w:rsidRPr="00F27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Науково-методичний вісник Ніжинського обласного педагогічного ліцею Чернігівської обласної ради. 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Випуск № 1 (19). Ніжин: ПП Лисенко, 2021. С. 34–38.</w:t>
      </w:r>
    </w:p>
    <w:p w:rsidR="00F27161" w:rsidRPr="00F27161" w:rsidRDefault="00F27161" w:rsidP="00F27161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Івахно Н. О. Методика встановлення зв’язку власних назв з художніми елементами літературного тексту. </w:t>
      </w:r>
      <w:r w:rsidRPr="00F27161">
        <w:rPr>
          <w:rFonts w:ascii="Times New Roman" w:hAnsi="Times New Roman" w:cs="Times New Roman"/>
          <w:i/>
          <w:sz w:val="24"/>
          <w:szCs w:val="24"/>
          <w:lang w:val="uk-UA"/>
        </w:rPr>
        <w:t>Арватівські читання – 2022: збірник тез доповідей Всеукраїнської студентської науково-практичної інтернет-конференції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, 20 травня 2022 року / упоряд. Н. І. Бойко, О. М. Петрик. Ніжин: НДУ ім. М. Гоголя, 2022. С. 41-42.</w:t>
      </w:r>
    </w:p>
    <w:p w:rsidR="00F27161" w:rsidRPr="00F27161" w:rsidRDefault="00F27161" w:rsidP="00F27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271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УЧАСТЬ УЧНІВ ЛІЦЕЮ  У НАУКОВО-ПРАКТИЧНИХ КОНФЕРЕНЦІЯХ</w:t>
      </w:r>
    </w:p>
    <w:p w:rsidR="00F27161" w:rsidRPr="00F27161" w:rsidRDefault="00F27161" w:rsidP="00F27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ІІІ обласна мовно-літературна конференція учнівської молоді (07 грудня 2022 р., Прощенко В.).</w:t>
      </w:r>
    </w:p>
    <w:p w:rsidR="00F27161" w:rsidRPr="00F27161" w:rsidRDefault="00F27161" w:rsidP="00F27161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271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УЧАСТЬ УЧНІВ У КОНКУРСАХ</w:t>
      </w:r>
    </w:p>
    <w:p w:rsidR="00F27161" w:rsidRPr="00F27161" w:rsidRDefault="00F27161" w:rsidP="00F27161">
      <w:pPr>
        <w:tabs>
          <w:tab w:val="left" w:pos="22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ІХ Міжнародний мовно-літературний конкурс учнівської та студентської молоді імені Тараса Шевченка (Щітка Н., ІІ місце, ІІ етап, 2019 р.).</w:t>
      </w:r>
    </w:p>
    <w:p w:rsidR="00F27161" w:rsidRPr="00F27161" w:rsidRDefault="00F27161" w:rsidP="00F27161">
      <w:pPr>
        <w:tabs>
          <w:tab w:val="left" w:pos="22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ХІІ Міжнародний мовно-літературний конкурс учнівської та студентської молоді імені Тараса Шевченка (Прощенко В., ІІІ місце, ІІ етап, 2021 р.).</w:t>
      </w:r>
    </w:p>
    <w:p w:rsidR="00F27161" w:rsidRPr="00F27161" w:rsidRDefault="00F27161" w:rsidP="00F27161">
      <w:pPr>
        <w:tabs>
          <w:tab w:val="left" w:pos="22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ХІІІ Міжнародний мовно-літературний конкурс учнівської та студентської молоді імені Тараса Шевченка (Прощенко В., І місце, ІІ етап, 2022 р.).</w:t>
      </w:r>
    </w:p>
    <w:p w:rsidR="00F27161" w:rsidRPr="00F27161" w:rsidRDefault="00F27161" w:rsidP="00F27161">
      <w:pPr>
        <w:tabs>
          <w:tab w:val="left" w:pos="22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271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7161">
        <w:rPr>
          <w:rFonts w:ascii="Times New Roman" w:hAnsi="Times New Roman" w:cs="Times New Roman"/>
          <w:sz w:val="24"/>
          <w:szCs w:val="24"/>
          <w:lang w:val="uk-UA"/>
        </w:rPr>
        <w:t>ІІ Регіональний конкурс учнівської творчості «Стежка до Шевченка» (Прощенко В., ІІІ місце в номінації «Поезія»; ІІ місце в номінації «Проза», 2022 р.).</w:t>
      </w:r>
    </w:p>
    <w:p w:rsidR="00F27161" w:rsidRPr="00F27161" w:rsidRDefault="00F27161" w:rsidP="00F27161">
      <w:pPr>
        <w:tabs>
          <w:tab w:val="left" w:pos="22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Всеукраїнський учнівський літературно-мистецький конкурс «Стежками</w:t>
      </w:r>
    </w:p>
    <w:p w:rsidR="00F27161" w:rsidRPr="00F27161" w:rsidRDefault="00F27161" w:rsidP="00F27161">
      <w:pPr>
        <w:tabs>
          <w:tab w:val="left" w:pos="22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Каменяра» (Лубенець Р., Тронь Д.).</w:t>
      </w:r>
    </w:p>
    <w:p w:rsidR="00F27161" w:rsidRPr="00F27161" w:rsidRDefault="00F27161" w:rsidP="00F27161">
      <w:pPr>
        <w:tabs>
          <w:tab w:val="left" w:pos="22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>ХХІІ Всеукраїнський конкурс учнівської творчості «Об’єднаймося ж, брати мої!» (Кішка Т., І місце, І етап, 2022 р.).</w:t>
      </w:r>
    </w:p>
    <w:p w:rsidR="00F27161" w:rsidRPr="00F27161" w:rsidRDefault="00F27161" w:rsidP="00F271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Всеукраїнський конкурс-захист науково-дослідницьких робіт учнів-членів МАН України </w:t>
      </w:r>
    </w:p>
    <w:p w:rsidR="00F27161" w:rsidRPr="00F27161" w:rsidRDefault="00F27161" w:rsidP="00F27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Прощенко В. – диплом ІІІ ступеня ІІ етапу, секція «Літературна творчість», 2022 р.</w:t>
      </w:r>
    </w:p>
    <w:p w:rsidR="00F27161" w:rsidRPr="00F27161" w:rsidRDefault="00F27161" w:rsidP="00F27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161">
        <w:rPr>
          <w:rFonts w:ascii="Times New Roman" w:hAnsi="Times New Roman" w:cs="Times New Roman"/>
          <w:sz w:val="24"/>
          <w:szCs w:val="24"/>
          <w:lang w:val="uk-UA"/>
        </w:rPr>
        <w:t xml:space="preserve">Коченко Д. – диплом ІІІ ступеня ІІ етапу, секція «Українська мова», 2022 р. </w:t>
      </w:r>
    </w:p>
    <w:p w:rsidR="00F27161" w:rsidRDefault="00F27161" w:rsidP="00F27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О.М.Капленко була членом оргкомітету Всеукраїнської науково-практичної інтернет</w:t>
      </w:r>
      <w:r>
        <w:rPr>
          <w:rFonts w:ascii="Times New Roman" w:hAnsi="Times New Roman" w:cs="Times New Roman"/>
          <w:sz w:val="24"/>
          <w:szCs w:val="24"/>
          <w:lang w:val="uk-UA"/>
        </w:rPr>
        <w:noBreakHyphen/>
        <w:t>конференції «Літературна творчість представників Ніжинської вищої школи: гуманітарний дискурс» (Ніжин, лютий 2022 р.)</w:t>
      </w:r>
    </w:p>
    <w:p w:rsidR="00485CB9" w:rsidRDefault="00485CB9" w:rsidP="00F27161">
      <w:pPr>
        <w:spacing w:after="0" w:line="360" w:lineRule="auto"/>
        <w:ind w:left="567" w:right="-284"/>
        <w:jc w:val="both"/>
      </w:pPr>
    </w:p>
    <w:sectPr w:rsidR="00485CB9">
      <w:pgSz w:w="11906" w:h="16838"/>
      <w:pgMar w:top="709" w:right="849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93C" w:rsidRDefault="00ED293C" w:rsidP="00F27161">
      <w:pPr>
        <w:spacing w:after="0" w:line="240" w:lineRule="auto"/>
      </w:pPr>
      <w:r>
        <w:separator/>
      </w:r>
    </w:p>
  </w:endnote>
  <w:endnote w:type="continuationSeparator" w:id="0">
    <w:p w:rsidR="00ED293C" w:rsidRDefault="00ED293C" w:rsidP="00F2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93C" w:rsidRDefault="00ED293C" w:rsidP="00F27161">
      <w:pPr>
        <w:spacing w:after="0" w:line="240" w:lineRule="auto"/>
      </w:pPr>
      <w:r>
        <w:separator/>
      </w:r>
    </w:p>
  </w:footnote>
  <w:footnote w:type="continuationSeparator" w:id="0">
    <w:p w:rsidR="00ED293C" w:rsidRDefault="00ED293C" w:rsidP="00F2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801"/>
    <w:multiLevelType w:val="multilevel"/>
    <w:tmpl w:val="C8F293BA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3E63"/>
    <w:multiLevelType w:val="multilevel"/>
    <w:tmpl w:val="57B4027C"/>
    <w:lvl w:ilvl="0">
      <w:start w:val="1"/>
      <w:numFmt w:val="bullet"/>
      <w:lvlText w:val=""/>
      <w:lvlJc w:val="left"/>
      <w:pPr>
        <w:ind w:left="198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ED6877"/>
    <w:multiLevelType w:val="multilevel"/>
    <w:tmpl w:val="BED804A2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bullet"/>
      <w:lvlText w:val="-"/>
      <w:lvlJc w:val="left"/>
      <w:pPr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3233"/>
    <w:multiLevelType w:val="multilevel"/>
    <w:tmpl w:val="07FC9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2573"/>
    <w:multiLevelType w:val="multilevel"/>
    <w:tmpl w:val="CE7CFB3A"/>
    <w:lvl w:ilvl="0">
      <w:start w:val="1"/>
      <w:numFmt w:val="bullet"/>
      <w:lvlText w:val=""/>
      <w:lvlJc w:val="left"/>
      <w:pPr>
        <w:ind w:left="1695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9271C2F"/>
    <w:multiLevelType w:val="multilevel"/>
    <w:tmpl w:val="E490F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5011137">
    <w:abstractNumId w:val="3"/>
  </w:num>
  <w:num w:numId="2" w16cid:durableId="1370259059">
    <w:abstractNumId w:val="4"/>
  </w:num>
  <w:num w:numId="3" w16cid:durableId="1729105963">
    <w:abstractNumId w:val="1"/>
  </w:num>
  <w:num w:numId="4" w16cid:durableId="140856262">
    <w:abstractNumId w:val="2"/>
  </w:num>
  <w:num w:numId="5" w16cid:durableId="1404330894">
    <w:abstractNumId w:val="0"/>
  </w:num>
  <w:num w:numId="6" w16cid:durableId="2041085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CB9"/>
    <w:rsid w:val="000061B8"/>
    <w:rsid w:val="0021397A"/>
    <w:rsid w:val="00450608"/>
    <w:rsid w:val="00485CB9"/>
    <w:rsid w:val="005633E3"/>
    <w:rsid w:val="00A11FAD"/>
    <w:rsid w:val="00B1117A"/>
    <w:rsid w:val="00ED293C"/>
    <w:rsid w:val="00F05E29"/>
    <w:rsid w:val="00F13519"/>
    <w:rsid w:val="00F27161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7E6B-23EC-464A-B222-AB9F1128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  <w:lang w:val="ru-RU"/>
    </w:rPr>
  </w:style>
  <w:style w:type="paragraph" w:styleId="1">
    <w:name w:val="heading 1"/>
    <w:basedOn w:val="a0"/>
    <w:qFormat/>
    <w:pPr>
      <w:outlineLvl w:val="0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563C1"/>
      <w:u w:val="single"/>
    </w:rPr>
  </w:style>
  <w:style w:type="character" w:customStyle="1" w:styleId="a4">
    <w:name w:val="Основний текст Знак"/>
    <w:basedOn w:val="a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i w:val="0"/>
      <w:sz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Times New Roman" w:hAnsi="Times New Roman"/>
      <w:i w:val="0"/>
      <w:sz w:val="24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/>
      <w:i w:val="0"/>
    </w:rPr>
  </w:style>
  <w:style w:type="character" w:customStyle="1" w:styleId="ListLabel46">
    <w:name w:val="ListLabel 46"/>
    <w:qFormat/>
    <w:rPr>
      <w:rFonts w:eastAsia="Calibri" w:cs="Times New Roman"/>
    </w:rPr>
  </w:style>
  <w:style w:type="character" w:customStyle="1" w:styleId="ListLabel47">
    <w:name w:val="ListLabel 47"/>
    <w:qFormat/>
    <w:rPr>
      <w:b w:val="0"/>
      <w:i w:val="0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  <w:i w:val="0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i w:val="0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 w:val="0"/>
      <w:i w:val="0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  <w:rPr>
      <w:rFonts w:cs="Calibri"/>
    </w:rPr>
  </w:style>
  <w:style w:type="paragraph" w:customStyle="1" w:styleId="ab">
    <w:name w:val="ВАК"/>
    <w:basedOn w:val="a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qFormat/>
    <w:pPr>
      <w:overflowPunct w:val="0"/>
    </w:pPr>
    <w:rPr>
      <w:color w:val="00000A"/>
      <w:sz w:val="22"/>
      <w:lang w:val="ru-RU"/>
    </w:rPr>
  </w:style>
  <w:style w:type="paragraph" w:customStyle="1" w:styleId="ae">
    <w:name w:val="Содержимое таблицы"/>
    <w:basedOn w:val="a"/>
    <w:qFormat/>
  </w:style>
  <w:style w:type="numbering" w:customStyle="1" w:styleId="WW8Num3">
    <w:name w:val="WW8Num3"/>
    <w:qFormat/>
  </w:style>
  <w:style w:type="paragraph" w:styleId="af">
    <w:name w:val="header"/>
    <w:basedOn w:val="a"/>
    <w:link w:val="af0"/>
    <w:uiPriority w:val="99"/>
    <w:unhideWhenUsed/>
    <w:rsid w:val="00F27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1"/>
    <w:link w:val="af"/>
    <w:uiPriority w:val="99"/>
    <w:rsid w:val="00F27161"/>
    <w:rPr>
      <w:color w:val="00000A"/>
      <w:sz w:val="22"/>
      <w:lang w:val="ru-RU"/>
    </w:rPr>
  </w:style>
  <w:style w:type="paragraph" w:styleId="af1">
    <w:name w:val="footer"/>
    <w:basedOn w:val="a"/>
    <w:link w:val="af2"/>
    <w:uiPriority w:val="99"/>
    <w:unhideWhenUsed/>
    <w:rsid w:val="00F27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1"/>
    <w:link w:val="af1"/>
    <w:uiPriority w:val="99"/>
    <w:rsid w:val="00F27161"/>
    <w:rPr>
      <w:color w:val="00000A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9</Pages>
  <Words>12978</Words>
  <Characters>7399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173</cp:revision>
  <dcterms:created xsi:type="dcterms:W3CDTF">2017-12-18T03:50:00Z</dcterms:created>
  <dcterms:modified xsi:type="dcterms:W3CDTF">2023-04-21T08:21:00Z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