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right"/>
      </w:pPr>
      <w:r>
        <w:rPr>
          <w:color w:val="000000"/>
          <w:sz w:val="28"/>
          <w:szCs w:val="28"/>
        </w:rPr>
        <w:t>ЗАТВЕРДЖЕНО</w:t>
      </w:r>
    </w:p>
    <w:p>
      <w:pPr>
        <w:pStyle w:val=""/>
        <w:jc w:val="right"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Наказ Ніжинського обласного педагогічного ліцею </w:t>
      </w:r>
    </w:p>
    <w:p>
      <w:pPr>
        <w:pStyle w:val=""/>
        <w:jc w:val="right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Чернігівської обласної ради </w:t>
      </w:r>
    </w:p>
    <w:p>
      <w:pPr>
        <w:pStyle w:val="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06.03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р. №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64</w:t>
      </w:r>
      <w:r>
        <w:rPr>
          <w:color w:val="000000"/>
          <w:sz w:val="28"/>
          <w:szCs w:val="28"/>
        </w:rPr>
        <w:t>-Н</w:t>
      </w:r>
    </w:p>
    <w:p>
      <w:pPr>
        <w:pStyle w:val=""/>
        <w:rPr>
          <w:color w:val="000000"/>
          <w:sz w:val="28"/>
          <w:szCs w:val="28"/>
        </w:rPr>
      </w:pPr>
    </w:p>
    <w:p>
      <w:pPr>
        <w:pStyle w:val=""/>
        <w:rPr>
          <w:color w:val="000000"/>
          <w:sz w:val="28"/>
          <w:szCs w:val="28"/>
        </w:rPr>
      </w:pPr>
    </w:p>
    <w:p>
      <w:pPr>
        <w:pStyle w:val=""/>
        <w:jc w:val="center"/>
      </w:pPr>
      <w:r>
        <w:rPr>
          <w:b/>
          <w:color w:val="000000"/>
          <w:sz w:val="28"/>
          <w:szCs w:val="28"/>
        </w:rPr>
        <w:t>Інструкція № 41</w:t>
      </w:r>
    </w:p>
    <w:p>
      <w:pPr>
        <w:pStyle w:val=""/>
        <w:jc w:val="center"/>
      </w:pPr>
      <w:r>
        <w:rPr>
          <w:b/>
          <w:color w:val="000000"/>
          <w:sz w:val="28"/>
          <w:szCs w:val="28"/>
        </w:rPr>
        <w:t>з охорони праці пр</w:t>
      </w:r>
      <w:r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користуванні ручною тривожною сигналізацією</w:t>
      </w:r>
    </w:p>
    <w:p>
      <w:pPr>
        <w:pStyle w:val=""/>
        <w:rPr>
          <w:color w:val="000000"/>
          <w:sz w:val="28"/>
          <w:szCs w:val="28"/>
        </w:rPr>
      </w:pPr>
    </w:p>
    <w:p>
      <w:pPr>
        <w:pStyle w:val=""/>
      </w:pPr>
      <w:r>
        <w:rPr>
          <w:color w:val="000000"/>
          <w:sz w:val="26"/>
          <w:szCs w:val="26"/>
        </w:rPr>
        <w:t xml:space="preserve">                  </w:t>
      </w:r>
      <w:r>
        <w:rPr>
          <w:color w:val="000000"/>
          <w:sz w:val="26"/>
          <w:szCs w:val="26"/>
        </w:rPr>
        <w:t>1. ЗАГАЛЬНІ ПОЛОЖЕННЯ</w:t>
      </w:r>
    </w:p>
    <w:p>
      <w:pPr>
        <w:pStyle w:val=""/>
      </w:pPr>
      <w:r>
        <w:rPr>
          <w:color w:val="000000"/>
          <w:sz w:val="26"/>
          <w:szCs w:val="26"/>
        </w:rPr>
        <w:t xml:space="preserve">1.1. Дана інструкція встановлює вимоги до охорони праці працівників, що працюють з ручною тривожною сигналізацією. </w:t>
      </w:r>
    </w:p>
    <w:p>
      <w:pPr>
        <w:pStyle w:val=""/>
      </w:pPr>
      <w:r>
        <w:rPr>
          <w:color w:val="000000"/>
          <w:sz w:val="26"/>
          <w:szCs w:val="26"/>
        </w:rPr>
        <w:t xml:space="preserve">1.2. Вимоги інструкції є обов'язковими для виконання  працівниками ліцею відповідно до Закону України «Про охорону праці» і Кодексу законів про працю України. </w:t>
      </w:r>
    </w:p>
    <w:p>
      <w:pPr>
        <w:pStyle w:val=""/>
      </w:pPr>
      <w:r>
        <w:rPr>
          <w:color w:val="000000"/>
          <w:sz w:val="26"/>
          <w:szCs w:val="26"/>
        </w:rPr>
        <w:t>1.3. Поліція охорони (виконавець) проводить вступний інструктаж із довіреними особами ліцею (замовником) по вивченню правил користування технічними засобами сигналізації, найпростіших методів перевірки її справності, порядку прийому (зняття) сигналізації під (з-під) спостереження, а той в свою чергу проводить інструктаж з уповноваженими  особами з експлуатації ручної тривожної сигналізації згідно Переліку.</w:t>
      </w:r>
    </w:p>
    <w:p>
      <w:pPr>
        <w:pStyle w:val=""/>
      </w:pPr>
      <w:r>
        <w:rPr>
          <w:color w:val="000000"/>
          <w:sz w:val="26"/>
          <w:szCs w:val="26"/>
        </w:rPr>
        <w:t>1.4. Здача ручної тривожної сигналізації під спостереження і зняття з-під спостереження здійснюється замовником або його довіреними особами.</w:t>
      </w:r>
    </w:p>
    <w:p>
      <w:pPr>
        <w:pStyle w:val=""/>
      </w:pPr>
      <w:r>
        <w:rPr>
          <w:color w:val="000000"/>
          <w:sz w:val="26"/>
          <w:szCs w:val="26"/>
        </w:rPr>
        <w:t>1.5. При зміні довірених осіб, замовник письмово повідомляє про це виконавця за 15 днів до змін.</w:t>
      </w:r>
    </w:p>
    <w:p>
      <w:pPr>
        <w:pStyle w:val=""/>
      </w:pPr>
      <w:r>
        <w:rPr>
          <w:color w:val="000000"/>
          <w:sz w:val="26"/>
          <w:szCs w:val="26"/>
        </w:rPr>
        <w:t>1.6. Замовник відповідає за правильну експлуатацію технічних засобів ручної тривожної сигналізації, дотримання порядку прийому  (зняття) сигналізації під спостереження.</w:t>
      </w:r>
    </w:p>
    <w:p>
      <w:pPr>
        <w:pStyle w:val=""/>
      </w:pPr>
      <w:r>
        <w:rPr>
          <w:color w:val="000000"/>
          <w:sz w:val="26"/>
          <w:szCs w:val="26"/>
        </w:rPr>
        <w:t>1.7.  Прийому  (зняттю)  сигналізації під (з-під) спостереження підлягають тільки об’єкти, включені в дислокацію.</w:t>
      </w:r>
    </w:p>
    <w:p>
      <w:pPr>
        <w:pStyle w:val=""/>
      </w:pPr>
      <w:r>
        <w:rPr>
          <w:color w:val="000000"/>
          <w:sz w:val="26"/>
          <w:szCs w:val="26"/>
        </w:rPr>
        <w:t>1.8. На об’єктах, які мають непрацюючі засоби ручної тривожної сигналізації, освітлення та ін. сигналізація під спостереження не приймається.</w:t>
      </w:r>
    </w:p>
    <w:p>
      <w:pPr>
        <w:pStyle w:val=""/>
      </w:pPr>
      <w:r>
        <w:rPr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>II. ВИМОГИ БЕЗПЕКИ ПЕРЕД ПОЧАТКОМ РОБОТИ</w:t>
      </w:r>
    </w:p>
    <w:p>
      <w:pPr>
        <w:pStyle w:val=""/>
      </w:pPr>
      <w:r>
        <w:rPr>
          <w:color w:val="000000"/>
          <w:sz w:val="26"/>
          <w:szCs w:val="26"/>
        </w:rPr>
        <w:t xml:space="preserve"> 2.1. Оглянути засоби ручної тривожної сигналізації ліцею з метою виявлення відключених приладів пристроїв і сповіщувачів та  небезпечних факторів для життя та здоров’я учасників освітнього процесу.</w:t>
      </w:r>
    </w:p>
    <w:p>
      <w:pPr>
        <w:pStyle w:val=""/>
      </w:pPr>
      <w:r>
        <w:rPr>
          <w:color w:val="000000"/>
          <w:sz w:val="26"/>
          <w:szCs w:val="26"/>
        </w:rPr>
        <w:t xml:space="preserve">2.2. Отримати мобільну кнопку ручної тривожної сигналізації після відповідного запису у журналі передачі та використання дистанційних радіокнопок тривожного виклику. </w:t>
      </w:r>
    </w:p>
    <w:p>
      <w:pPr>
        <w:pStyle w:val=""/>
      </w:pPr>
      <w:r>
        <w:rPr>
          <w:color w:val="000000"/>
          <w:sz w:val="26"/>
          <w:szCs w:val="26"/>
        </w:rPr>
        <w:t>2.3.  По світлодіодній індикації приладів сигналізації, встановлених на об’єкті переконатись у працездатності обладнання.</w:t>
      </w:r>
    </w:p>
    <w:p>
      <w:pPr>
        <w:pStyle w:val=""/>
      </w:pPr>
      <w:r>
        <w:rPr>
          <w:color w:val="000000"/>
          <w:sz w:val="26"/>
          <w:szCs w:val="26"/>
        </w:rPr>
        <w:t>2.3. У разі виявлення якихось порушень або несправностей вжити заходів щодо їх усунення, а в разі потреби повідомити директора ліцею.</w:t>
      </w:r>
    </w:p>
    <w:p>
      <w:pPr>
        <w:pStyle w:val=""/>
      </w:pPr>
      <w:r>
        <w:rPr>
          <w:color w:val="000000"/>
          <w:sz w:val="26"/>
          <w:szCs w:val="26"/>
        </w:rPr>
        <w:t>2.4. Черговий працівник повинен постійно мати ручний електричний ліхтар.</w:t>
      </w:r>
    </w:p>
    <w:p>
      <w:pPr>
        <w:pStyle w:val=""/>
        <w:rPr>
          <w:color w:val="000000"/>
          <w:sz w:val="26"/>
          <w:szCs w:val="26"/>
        </w:rPr>
      </w:pPr>
    </w:p>
    <w:p>
      <w:pPr>
        <w:pStyle w:val=""/>
        <w:rPr>
          <w:color w:val="000000"/>
          <w:sz w:val="26"/>
          <w:szCs w:val="26"/>
        </w:rPr>
      </w:pPr>
    </w:p>
    <w:p>
      <w:pPr>
        <w:pStyle w:val=""/>
      </w:pPr>
      <w:r>
        <w:rPr>
          <w:color w:val="000000"/>
          <w:sz w:val="26"/>
          <w:szCs w:val="26"/>
        </w:rPr>
        <w:t>III. ВИМОГИ БЕЗПЕКИ ПІД ЧАС РОБОТИ</w:t>
      </w:r>
    </w:p>
    <w:p>
      <w:pPr>
        <w:pStyle w:val=""/>
      </w:pPr>
      <w:r>
        <w:rPr>
          <w:color w:val="000000"/>
          <w:sz w:val="26"/>
          <w:szCs w:val="26"/>
        </w:rPr>
        <w:t xml:space="preserve">3.1. Чергувати відповідного графіка, затвердженого наказом по ліцею, не залишати пост без нагляду. </w:t>
      </w:r>
    </w:p>
    <w:p>
      <w:pPr>
        <w:pStyle w:val=""/>
      </w:pPr>
      <w:r>
        <w:rPr>
          <w:color w:val="000000"/>
          <w:sz w:val="26"/>
          <w:szCs w:val="26"/>
        </w:rPr>
        <w:t xml:space="preserve">3.2. Виконувати всі розпорядження адміністрації. </w:t>
      </w:r>
    </w:p>
    <w:p>
      <w:pPr>
        <w:pStyle w:val=""/>
      </w:pPr>
      <w:r>
        <w:rPr>
          <w:color w:val="000000"/>
          <w:sz w:val="26"/>
          <w:szCs w:val="26"/>
        </w:rPr>
        <w:t>3.3. При злісному  проникненню до приміщення  ліцею сторонніх осіб, як під час освітнього процесу, так і після його закінчення, або інших надз</w:t>
      </w:r>
      <w:r>
        <w:rPr>
          <w:color w:val="000000"/>
          <w:sz w:val="26"/>
          <w:szCs w:val="26"/>
        </w:rPr>
        <w:t xml:space="preserve">вичайних ситуаціях при яких потрібна допомога поліції необхідно  непомітно натиснути на стаціонарну, або мобільну кнопку виклику. </w:t>
      </w:r>
    </w:p>
    <w:p>
      <w:pPr>
        <w:pStyle w:val=""/>
      </w:pPr>
      <w:r>
        <w:rPr>
          <w:color w:val="000000"/>
          <w:sz w:val="26"/>
          <w:szCs w:val="26"/>
        </w:rPr>
        <w:t xml:space="preserve">3.4. Озброєному наряду поліції, що прибуде на виклик, інформувати про правопорушення.  </w:t>
      </w:r>
    </w:p>
    <w:p>
      <w:pPr>
        <w:pStyle w:val=""/>
      </w:pPr>
      <w:r>
        <w:rPr>
          <w:color w:val="000000"/>
          <w:sz w:val="26"/>
          <w:szCs w:val="26"/>
        </w:rPr>
        <w:t xml:space="preserve">3.4. Терміново повідомляти адміністрацію про кожний  випадок виклику ручної тривожної сигналізації ліцею та фіксувати його у відповідному журналі. </w:t>
      </w:r>
    </w:p>
    <w:p>
      <w:pPr>
        <w:pStyle w:val=""/>
      </w:pPr>
      <w:r>
        <w:rPr>
          <w:color w:val="000000"/>
          <w:sz w:val="26"/>
          <w:szCs w:val="26"/>
        </w:rPr>
        <w:t>3.8. У нічний час черговому забороняється  виходити за межі закладу.</w:t>
      </w:r>
    </w:p>
    <w:p>
      <w:pPr>
        <w:pStyle w:val=""/>
      </w:pPr>
      <w:r>
        <w:rPr>
          <w:color w:val="000000"/>
          <w:sz w:val="26"/>
          <w:szCs w:val="26"/>
        </w:rPr>
        <w:t>3.9.  У випадку не працездатності засобів тривожної сигналізації здійснити виклик працівників виконавця для усунення причин відмови роботи сигналізації по телефонам:2-45-95, 2-44-15, 095-239-17-01.</w:t>
      </w:r>
    </w:p>
    <w:p>
      <w:pPr>
        <w:pStyle w:val=""/>
      </w:pPr>
      <w:r>
        <w:rPr>
          <w:color w:val="000000"/>
          <w:sz w:val="26"/>
          <w:szCs w:val="26"/>
        </w:rPr>
        <w:t>3.10.  Після усунення причин відмови сигналізації замовник разом з працівником виконавця здійснює здачу тривожної сигналізації під спостереження на ПЦС.</w:t>
      </w:r>
    </w:p>
    <w:p>
      <w:pPr>
        <w:pStyle w:val=""/>
      </w:pPr>
      <w:r>
        <w:rPr>
          <w:color w:val="000000"/>
          <w:sz w:val="26"/>
          <w:szCs w:val="26"/>
        </w:rPr>
        <w:t>3.11. Сигналізація вважається прийнятою під охорону після того, як відповідальна особа замовника набере персональний код на клавіатурі і переконається по світінню контрольної світлодіодної індикації у прийнятті сигналізації під спостереження ПЦС.</w:t>
      </w:r>
    </w:p>
    <w:p>
      <w:pPr>
        <w:pStyle w:val=""/>
      </w:pPr>
      <w:r>
        <w:rPr>
          <w:color w:val="000000"/>
          <w:sz w:val="26"/>
          <w:szCs w:val="26"/>
        </w:rPr>
        <w:t>Таке засвідчення факту приймання сигналізації під спостереження є подією, що має юридичні наслідки для договірних відносин Поліція охорони та ліцею.</w:t>
      </w:r>
    </w:p>
    <w:p>
      <w:pPr>
        <w:pStyle w:val=""/>
      </w:pPr>
      <w:r>
        <w:rPr>
          <w:color w:val="000000"/>
          <w:sz w:val="26"/>
          <w:szCs w:val="26"/>
        </w:rPr>
        <w:t xml:space="preserve"> Забороняється:</w:t>
      </w:r>
    </w:p>
    <w:p>
      <w:pPr>
        <w:pStyle w:val=""/>
      </w:pPr>
      <w:r>
        <w:rPr>
          <w:color w:val="000000"/>
          <w:sz w:val="26"/>
          <w:szCs w:val="26"/>
        </w:rPr>
        <w:t>3.12. Розголошувати стороннім особам особливості організації спостереження, у тому числі повідомляти коди і телефони для здачі (зняття) сигналізації під спостереження.</w:t>
      </w:r>
    </w:p>
    <w:p>
      <w:pPr>
        <w:pStyle w:val=""/>
      </w:pPr>
      <w:r>
        <w:rPr>
          <w:color w:val="000000"/>
          <w:sz w:val="26"/>
          <w:szCs w:val="26"/>
        </w:rPr>
        <w:t>3.13. Допускати осіб, не уповноважених виконавцем, до експлуатації та ремонту засобів сигналізації.</w:t>
      </w:r>
    </w:p>
    <w:p>
      <w:pPr>
        <w:pStyle w:val=""/>
      </w:pPr>
      <w:r>
        <w:rPr>
          <w:color w:val="000000"/>
          <w:sz w:val="26"/>
          <w:szCs w:val="26"/>
        </w:rPr>
        <w:t>3.14. Самовільно, без письмового повідомлення виконавця, передоручати здачу (зняття) сигналізації під спостереження іншим особам, не внесених до переліку довірених осіб.</w:t>
      </w:r>
    </w:p>
    <w:p>
      <w:pPr>
        <w:pStyle w:val=""/>
      </w:pPr>
      <w:r>
        <w:rPr>
          <w:color w:val="000000"/>
          <w:sz w:val="26"/>
          <w:szCs w:val="26"/>
        </w:rPr>
        <w:t>ІV. ВИМОГИ БЕЗПЕКИ ПІСЛЯ ЗАКІНЧЕННЯ РОБОТИ</w:t>
      </w:r>
    </w:p>
    <w:p>
      <w:pPr>
        <w:pStyle w:val=""/>
      </w:pPr>
      <w:r>
        <w:rPr>
          <w:color w:val="000000"/>
          <w:sz w:val="26"/>
          <w:szCs w:val="26"/>
        </w:rPr>
        <w:t>4.1. Провести огляд ввіреного  обладнання.</w:t>
      </w:r>
    </w:p>
    <w:p>
      <w:pPr>
        <w:pStyle w:val=""/>
      </w:pPr>
      <w:r>
        <w:rPr>
          <w:color w:val="000000"/>
          <w:sz w:val="26"/>
          <w:szCs w:val="26"/>
        </w:rPr>
        <w:t xml:space="preserve">4.2. У разі виявлення порушень або несправностей, вжити заходів щодо їх усунення, повідомити адміністрацію. </w:t>
      </w:r>
    </w:p>
    <w:p>
      <w:pPr>
        <w:pStyle w:val=""/>
      </w:pPr>
      <w:r>
        <w:rPr>
          <w:color w:val="000000"/>
          <w:sz w:val="26"/>
          <w:szCs w:val="26"/>
        </w:rPr>
        <w:t>4.3. Передавати зміну наступному черговому.</w:t>
      </w:r>
    </w:p>
    <w:p>
      <w:pPr>
        <w:pStyle w:val=""/>
      </w:pPr>
      <w:r>
        <w:rPr>
          <w:color w:val="000000"/>
          <w:sz w:val="26"/>
          <w:szCs w:val="26"/>
        </w:rPr>
        <w:t>4.4. Доповідати адміністрації ліцею про стан чергування.</w:t>
      </w:r>
    </w:p>
    <w:p>
      <w:pPr>
        <w:pStyle w:val=""/>
        <w:rPr>
          <w:color w:val="000000"/>
          <w:sz w:val="26"/>
          <w:szCs w:val="26"/>
        </w:rPr>
      </w:pPr>
    </w:p>
    <w:p>
      <w:pPr>
        <w:pStyle w:val=""/>
      </w:pPr>
      <w:r>
        <w:rPr>
          <w:color w:val="000000"/>
          <w:sz w:val="26"/>
          <w:szCs w:val="26"/>
        </w:rPr>
        <w:t>V. ВИМОГИ БЕЗПЕКИ В АВАРІЙНИХ СИТУАЦІЯХ</w:t>
      </w:r>
    </w:p>
    <w:p>
      <w:pPr>
        <w:pStyle w:val=""/>
      </w:pPr>
      <w:r>
        <w:rPr>
          <w:color w:val="000000"/>
          <w:sz w:val="26"/>
          <w:szCs w:val="26"/>
        </w:rPr>
        <w:t xml:space="preserve"> 5.1 У разі будь-якої аварійної ситуації черговий працівник повинен негайно повідомити адміністрацію ліцею. </w:t>
      </w:r>
    </w:p>
    <w:p>
      <w:pPr>
        <w:pStyle w:val=""/>
      </w:pPr>
      <w:r>
        <w:rPr>
          <w:color w:val="000000"/>
          <w:sz w:val="26"/>
          <w:szCs w:val="26"/>
        </w:rPr>
        <w:t xml:space="preserve">5.2 У випадку пожежі (чи загоряння) необхідно: </w:t>
      </w:r>
    </w:p>
    <w:p>
      <w:pPr>
        <w:pStyle w:val=""/>
      </w:pPr>
      <w:r>
        <w:rPr>
          <w:color w:val="000000"/>
          <w:sz w:val="26"/>
          <w:szCs w:val="26"/>
        </w:rPr>
        <w:t xml:space="preserve">- вжити заходів щодо евакуації учнів та працівників із приміщення відповідно до плану евакуації, у разі потреби звернутися по допомогу до інших працівників; </w:t>
      </w:r>
    </w:p>
    <w:p>
      <w:pPr>
        <w:pStyle w:val=""/>
      </w:pPr>
      <w:r>
        <w:rPr>
          <w:color w:val="000000"/>
          <w:sz w:val="26"/>
          <w:szCs w:val="26"/>
        </w:rPr>
        <w:t>- негайно повідомити пожежну охорону за телефоном 101;</w:t>
      </w:r>
    </w:p>
    <w:p>
      <w:pPr>
        <w:pStyle w:val=""/>
      </w:pPr>
      <w:r>
        <w:rPr>
          <w:color w:val="000000"/>
          <w:sz w:val="26"/>
          <w:szCs w:val="26"/>
        </w:rPr>
        <w:t xml:space="preserve"> - сповістити директора ліцею;</w:t>
      </w:r>
    </w:p>
    <w:p>
      <w:pPr>
        <w:pStyle w:val=""/>
      </w:pPr>
      <w:r>
        <w:rPr>
          <w:color w:val="000000"/>
          <w:sz w:val="26"/>
          <w:szCs w:val="26"/>
        </w:rPr>
        <w:t xml:space="preserve"> - приступити до ліквідації загоряння відповідно до інструкції щодо дій у разі виникнення пожежі.</w:t>
      </w:r>
    </w:p>
    <w:p>
      <w:pPr>
        <w:pStyle w:val=""/>
      </w:pPr>
      <w:r>
        <w:rPr>
          <w:color w:val="000000"/>
          <w:sz w:val="26"/>
          <w:szCs w:val="26"/>
        </w:rPr>
        <w:t xml:space="preserve"> 5.3 У випадку травмування учнів або працівників ліцею необхідно звернутися до медпрацівника або надати першу медичну допомогу та в разі необхідності викликати </w:t>
      </w:r>
      <w:r>
        <w:rPr>
          <w:color w:val="000000"/>
          <w:sz w:val="26"/>
          <w:szCs w:val="26"/>
        </w:rPr>
        <w:t>швидку</w:t>
      </w:r>
      <w:r>
        <w:rPr>
          <w:color w:val="000000"/>
          <w:sz w:val="26"/>
          <w:szCs w:val="26"/>
        </w:rPr>
        <w:t xml:space="preserve"> медичну допомогу за т. 103. </w:t>
      </w:r>
    </w:p>
    <w:p>
      <w:pPr>
        <w:pStyle w:val=""/>
        <w:rPr>
          <w:color w:val="000000"/>
          <w:sz w:val="28"/>
          <w:szCs w:val="28"/>
        </w:rPr>
      </w:pPr>
    </w:p>
    <w:p>
      <w:pPr>
        <w:pStyle w:val=""/>
        <w:rPr>
          <w:color w:val="000000"/>
          <w:sz w:val="28"/>
          <w:szCs w:val="28"/>
        </w:rPr>
      </w:pPr>
    </w:p>
    <w:p>
      <w:pPr>
        <w:pStyle w:val=""/>
        <w:rPr>
          <w:color w:val="000000"/>
          <w:sz w:val="28"/>
          <w:szCs w:val="28"/>
        </w:rPr>
      </w:pPr>
    </w:p>
    <w:p>
      <w:pPr>
        <w:pStyle w:val=""/>
      </w:pPr>
      <w:r>
        <w:rPr>
          <w:color w:val="000000"/>
          <w:sz w:val="28"/>
          <w:szCs w:val="28"/>
        </w:rPr>
        <w:t xml:space="preserve">Інженер з ОП __________ В. Шуляк </w:t>
      </w:r>
    </w:p>
    <w:p>
      <w:pPr>
        <w:pStyle w:val="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«___» ___________ 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р.</w:t>
      </w:r>
    </w:p>
    <w:sectPr>
      <w:pgSz w:w="11906" w:h="16838"/>
      <w:pgMar w:left="1418" w:right="424" w:top="426" w:bottom="284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Tahoma"/>
  <w:font w:name="Cambria Math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2335618">
    <w:multiLevelType w:val="hybridMultilevel"/>
    <w:lvl w:ilvl="0">
      <w:numFmt w:val="decimal"/>
      <w:lvlText w:val="%1."/>
      <w:start w:val="1"/>
      <w:lvlJc w:val="left"/>
      <w:pPr>
        <w:ind w:left="1287"/>
        <w:ind w:hanging="360"/>
      </w:pPr>
      <w:rPr/>
    </w:lvl>
    <w:lvl w:ilvl="1">
      <w:numFmt w:val="lowerLetter"/>
      <w:lvlText w:val="%2."/>
      <w:start w:val="1"/>
      <w:lvlJc w:val="left"/>
      <w:pPr>
        <w:ind w:left="2007"/>
        <w:ind w:hanging="360"/>
      </w:pPr>
      <w:rPr/>
    </w:lvl>
    <w:lvl w:ilvl="2">
      <w:numFmt w:val="lowerRoman"/>
      <w:lvlText w:val="%3."/>
      <w:start w:val="1"/>
      <w:lvlJc w:val="right"/>
      <w:pPr>
        <w:ind w:left="2727"/>
        <w:ind w:hanging="180"/>
      </w:pPr>
      <w:rPr/>
    </w:lvl>
    <w:lvl w:ilvl="3">
      <w:numFmt w:val="decimal"/>
      <w:lvlText w:val="%4."/>
      <w:start w:val="1"/>
      <w:lvlJc w:val="left"/>
      <w:pPr>
        <w:ind w:left="3447"/>
        <w:ind w:hanging="360"/>
      </w:pPr>
      <w:rPr/>
    </w:lvl>
    <w:lvl w:ilvl="4">
      <w:numFmt w:val="lowerLetter"/>
      <w:lvlText w:val="%5."/>
      <w:start w:val="1"/>
      <w:lvlJc w:val="left"/>
      <w:pPr>
        <w:ind w:left="4167"/>
        <w:ind w:hanging="360"/>
      </w:pPr>
      <w:rPr/>
    </w:lvl>
    <w:lvl w:ilvl="5">
      <w:numFmt w:val="lowerRoman"/>
      <w:lvlText w:val="%6."/>
      <w:start w:val="1"/>
      <w:lvlJc w:val="right"/>
      <w:pPr>
        <w:ind w:left="4887"/>
        <w:ind w:hanging="180"/>
      </w:pPr>
      <w:rPr/>
    </w:lvl>
    <w:lvl w:ilvl="6">
      <w:numFmt w:val="decimal"/>
      <w:lvlText w:val="%7."/>
      <w:start w:val="1"/>
      <w:lvlJc w:val="left"/>
      <w:pPr>
        <w:ind w:left="5607"/>
        <w:ind w:hanging="360"/>
      </w:pPr>
      <w:rPr/>
    </w:lvl>
    <w:lvl w:ilvl="7">
      <w:numFmt w:val="lowerLetter"/>
      <w:lvlText w:val="%8."/>
      <w:start w:val="1"/>
      <w:lvlJc w:val="left"/>
      <w:pPr>
        <w:ind w:left="6327"/>
        <w:ind w:hanging="360"/>
      </w:pPr>
      <w:rPr/>
    </w:lvl>
    <w:lvl w:ilvl="8">
      <w:numFmt w:val="lowerRoman"/>
      <w:lvlText w:val="%9."/>
      <w:start w:val="1"/>
      <w:lvlJc w:val="right"/>
      <w:pPr>
        <w:ind w:left="7047"/>
        <w:ind w:hanging="180"/>
      </w:pPr>
      <w:rPr/>
    </w:lvl>
  </w:abstractNum>
  <w:abstractNum w:abstractNumId="1036736407">
    <w:multiLevelType w:val="hybridMultilevel"/>
    <w:lvl w:ilvl="0">
      <w:numFmt w:val="decimal"/>
      <w:lvlText w:val="%1."/>
      <w:start w:val="1"/>
      <w:lvlJc w:val="left"/>
      <w:pPr>
        <w:ind w:left="1065"/>
        <w:ind w:hanging="360"/>
      </w:pPr>
      <w:rPr/>
    </w:lvl>
    <w:lvl w:ilvl="1">
      <w:numFmt w:val="decimal"/>
      <w:lvlText w:val="%1.%2."/>
      <w:start w:val="1"/>
      <w:lvlJc w:val="left"/>
      <w:pPr>
        <w:ind w:left="1425"/>
        <w:ind w:hanging="360"/>
      </w:pPr>
      <w:rPr/>
    </w:lvl>
    <w:lvl w:ilvl="2">
      <w:numFmt w:val="decimal"/>
      <w:lvlText w:val="%1.%2.%3."/>
      <w:start w:val="1"/>
      <w:lvlJc w:val="left"/>
      <w:pPr>
        <w:ind w:left="2145"/>
        <w:ind w:hanging="720"/>
      </w:pPr>
      <w:rPr/>
    </w:lvl>
    <w:lvl w:ilvl="3">
      <w:numFmt w:val="decimal"/>
      <w:lvlText w:val="%1.%2.%3.%4."/>
      <w:start w:val="1"/>
      <w:lvlJc w:val="left"/>
      <w:pPr>
        <w:ind w:left="2505"/>
        <w:ind w:hanging="720"/>
      </w:pPr>
      <w:rPr/>
    </w:lvl>
    <w:lvl w:ilvl="4">
      <w:numFmt w:val="decimal"/>
      <w:lvlText w:val="%1.%2.%3.%4.%5."/>
      <w:start w:val="1"/>
      <w:lvlJc w:val="left"/>
      <w:pPr>
        <w:ind w:left="3225"/>
        <w:ind w:hanging="1080"/>
      </w:pPr>
      <w:rPr/>
    </w:lvl>
    <w:lvl w:ilvl="5">
      <w:numFmt w:val="decimal"/>
      <w:lvlText w:val="%1.%2.%3.%4.%5.%6."/>
      <w:start w:val="1"/>
      <w:lvlJc w:val="left"/>
      <w:pPr>
        <w:ind w:left="3585"/>
        <w:ind w:hanging="1080"/>
      </w:pPr>
      <w:rPr/>
    </w:lvl>
    <w:lvl w:ilvl="6">
      <w:numFmt w:val="decimal"/>
      <w:lvlText w:val="%1.%2.%3.%4.%5.%6.%7."/>
      <w:start w:val="1"/>
      <w:lvlJc w:val="left"/>
      <w:pPr>
        <w:ind w:left="4305"/>
        <w:ind w:hanging="1440"/>
      </w:pPr>
      <w:rPr/>
    </w:lvl>
    <w:lvl w:ilvl="7">
      <w:numFmt w:val="decimal"/>
      <w:lvlText w:val="%1.%2.%3.%4.%5.%6.%7.%8."/>
      <w:start w:val="1"/>
      <w:lvlJc w:val="left"/>
      <w:pPr>
        <w:ind w:left="4665"/>
        <w:ind w:hanging="1440"/>
      </w:pPr>
      <w:rPr/>
    </w:lvl>
    <w:lvl w:ilvl="8">
      <w:numFmt w:val="decimal"/>
      <w:lvlText w:val="%1.%2.%3.%4.%5.%6.%7.%8.%9."/>
      <w:start w:val="1"/>
      <w:lvlJc w:val="left"/>
      <w:pPr>
        <w:ind w:left="5385"/>
        <w:ind w:hanging="1800"/>
      </w:pPr>
      <w:rPr/>
    </w:lvl>
  </w:abstractNum>
  <w:abstractNum w:abstractNumId="1249386266">
    <w:multiLevelType w:val="hybridMultilevel"/>
    <w:lvl w:ilvl="0">
      <w:numFmt w:val="decimal"/>
      <w:lvlText w:val="%1."/>
      <w:start w:val="1"/>
      <w:lvlJc w:val="left"/>
      <w:pPr>
        <w:ind w:left="1452"/>
        <w:ind w:hanging="885"/>
      </w:pPr>
      <w:rPr>
        <w:color w:val="000000"/>
      </w:rPr>
    </w:lvl>
    <w:lvl w:ilvl="1">
      <w:numFmt w:val="decimal"/>
      <w:lvlText w:val="%1.%2."/>
      <w:start w:val="1"/>
      <w:lvlJc w:val="left"/>
      <w:pPr>
        <w:ind w:left="1287"/>
        <w:ind w:hanging="720"/>
      </w:pPr>
      <w:rPr/>
    </w:lvl>
    <w:lvl w:ilvl="2">
      <w:numFmt w:val="decimal"/>
      <w:lvlText w:val="%1.%2.%3."/>
      <w:start w:val="1"/>
      <w:lvlJc w:val="left"/>
      <w:pPr>
        <w:ind w:left="1287"/>
        <w:ind w:hanging="720"/>
      </w:pPr>
      <w:rPr/>
    </w:lvl>
    <w:lvl w:ilvl="3">
      <w:numFmt w:val="decimal"/>
      <w:lvlText w:val="%1.%2.%3.%4."/>
      <w:start w:val="1"/>
      <w:lvlJc w:val="left"/>
      <w:pPr>
        <w:ind w:left="1647"/>
        <w:ind w:hanging="1080"/>
      </w:pPr>
      <w:rPr/>
    </w:lvl>
    <w:lvl w:ilvl="4">
      <w:numFmt w:val="decimal"/>
      <w:lvlText w:val="%1.%2.%3.%4.%5."/>
      <w:start w:val="1"/>
      <w:lvlJc w:val="left"/>
      <w:pPr>
        <w:ind w:left="1647"/>
        <w:ind w:hanging="1080"/>
      </w:pPr>
      <w:rPr/>
    </w:lvl>
    <w:lvl w:ilvl="5">
      <w:numFmt w:val="decimal"/>
      <w:lvlText w:val="%1.%2.%3.%4.%5.%6."/>
      <w:start w:val="1"/>
      <w:lvlJc w:val="left"/>
      <w:pPr>
        <w:ind w:left="2007"/>
        <w:ind w:hanging="1440"/>
      </w:pPr>
      <w:rPr/>
    </w:lvl>
    <w:lvl w:ilvl="6">
      <w:numFmt w:val="decimal"/>
      <w:lvlText w:val="%1.%2.%3.%4.%5.%6.%7."/>
      <w:start w:val="1"/>
      <w:lvlJc w:val="left"/>
      <w:pPr>
        <w:ind w:left="2367"/>
        <w:ind w:hanging="1800"/>
      </w:pPr>
      <w:rPr/>
    </w:lvl>
    <w:lvl w:ilvl="7">
      <w:numFmt w:val="decimal"/>
      <w:lvlText w:val="%1.%2.%3.%4.%5.%6.%7.%8."/>
      <w:start w:val="1"/>
      <w:lvlJc w:val="left"/>
      <w:pPr>
        <w:ind w:left="2367"/>
        <w:ind w:hanging="1800"/>
      </w:pPr>
      <w:rPr/>
    </w:lvl>
    <w:lvl w:ilvl="8">
      <w:numFmt w:val="decimal"/>
      <w:lvlText w:val="%1.%2.%3.%4.%5.%6.%7.%8.%9."/>
      <w:start w:val="1"/>
      <w:lvlJc w:val="left"/>
      <w:pPr>
        <w:ind w:left="2727"/>
        <w:ind w:hanging="2160"/>
      </w:pPr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num w:numId="152335618">
    <w:abstractNumId w:val="152335618"/>
  </w:num>
  <w:num w:numId="1036736407">
    <w:abstractNumId w:val="1036736407"/>
  </w:num>
  <w:num w:numId="1249386266">
    <w:abstractNumId w:val="1249386266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Звичайний"/>
    <w:qFormat/>
    <w:pPr/>
    <w:rPr>
      <w:sz w:val="24"/>
      <w:szCs w:val="24"/>
    </w:rPr>
  </w:style>
  <w:style w:type="paragraph" w:styleId="1">
    <w:name w:val="Заголовок 1"/>
    <w:qFormat/>
    <w:basedOn w:val="Звичайний"/>
    <w:pPr/>
    <w:rPr>
      <w:sz w:val="28"/>
      <w:szCs w:val="20"/>
    </w:rPr>
  </w:style>
  <w:style w:type="character" w:styleId="">
    <w:name w:val="Шрифт абзацу за замовчуванням"/>
    <w:qFormat/>
  </w:style>
  <w:style w:type="table" w:styleId="">
    <w:name w:val="Звичайна таблиця"/>
    <w:qFormat/>
    <w:pPr/>
  </w:style>
  <w:style w:type="numbering" w:styleId="">
    <w:name w:val="Немає списку"/>
    <w:qFormat/>
  </w:style>
  <w:style w:type="paragraph" w:styleId="3">
    <w:name w:val="Основний текст з відступом 3"/>
    <w:qFormat/>
    <w:basedOn w:val="Звичайний"/>
    <w:pPr>
      <w:ind w:left="283"/>
      <w:spacing w:after="120"/>
    </w:pPr>
    <w:rPr>
      <w:sz w:val="16"/>
      <w:szCs w:val="16"/>
    </w:rPr>
  </w:style>
  <w:style w:type="character" w:styleId="3">
    <w:name w:val="Основний текст з відступом 3 Знак"/>
    <w:qFormat/>
    <w:rPr>
      <w:sz w:val="16"/>
      <w:szCs w:val="16"/>
    </w:rPr>
  </w:style>
  <w:style w:type="character" w:styleId="1">
    <w:name w:val="Заголовок 1 Знак"/>
    <w:qFormat/>
    <w:rPr>
      <w:sz w:val="28"/>
    </w:rPr>
  </w:style>
  <w:style w:type="character" w:styleId="rvts9">
    <w:name w:val="rvts9"/>
    <w:qFormat/>
    <w:basedOn w:val="Шрифтабзацузазамовчуванням"/>
  </w:style>
  <w:style w:type="character" w:styleId="">
    <w:name w:val="Гіперпосилання"/>
    <w:qFormat/>
    <w:rPr>
      <w:u w:val="single"/>
      <w:color w:val="0000FF"/>
    </w:rPr>
  </w:style>
  <w:style w:type="paragraph" w:styleId="">
    <w:name w:val="Звичайний (веб)"/>
    <w:qFormat/>
    <w:basedOn w:val="Звичайний"/>
    <w:pPr>
      <w:spacing w:before="0" w:after="0"/>
    </w:pPr>
    <w:rPr/>
  </w:style>
  <w:style w:type="paragraph" w:styleId="line16">
    <w:name w:val="line16"/>
    <w:qFormat/>
    <w:basedOn w:val="Звичайний"/>
    <w:pPr>
      <w:spacing w:before="0" w:after="0"/>
    </w:pPr>
  </w:style>
  <w:style w:type="character" w:styleId="23">
    <w:name w:val="Заголовок №2 (3)_"/>
    <w:qFormat/>
    <w:rPr>
      <w:b/>
      <w:sz w:val="26"/>
      <w:szCs w:val="26"/>
      <w:shd w:fill="FFFFFF"/>
    </w:rPr>
  </w:style>
  <w:style w:type="paragraph" w:styleId="23">
    <w:name w:val="Заголовок №2 (3)"/>
    <w:qFormat/>
    <w:basedOn w:val="Звичайний"/>
    <w:pPr>
      <w:shd w:fill="FFFFFF"/>
      <w:spacing w:line="370" w:lineRule="exact"/>
    </w:pPr>
    <w:rPr>
      <w:b/>
      <w:sz w:val="26"/>
      <w:szCs w:val="26"/>
    </w:rPr>
  </w:style>
  <w:style w:type="paragraph" w:styleId="">
    <w:name w:val="Текст у виносці"/>
    <w:qFormat/>
    <w:basedOn w:val="Звичайний"/>
    <w:pPr/>
    <w:rPr>
      <w:rFonts w:ascii="Tahoma" w:hAnsi="Tahoma"/>
      <w:sz w:val="16"/>
      <w:szCs w:val="16"/>
    </w:rPr>
  </w:style>
  <w:style w:type="character" w:styleId="">
    <w:name w:val="Текст у виносці Знак"/>
    <w:qFormat/>
    <w:rPr>
      <w:rFonts w:ascii="Tahoma" w:hAnsi="Tahoma"/>
      <w:sz w:val="16"/>
      <w:szCs w:val="16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