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8C" w:rsidRDefault="001E14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48C" w:rsidRDefault="00ED3C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1E148C" w:rsidRDefault="00ED3C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стан викладання та рівень навчальних досягнень учнів</w:t>
      </w:r>
    </w:p>
    <w:p w:rsidR="001E148C" w:rsidRDefault="00ED3C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із інформатики в 10-11 класах</w:t>
      </w:r>
    </w:p>
    <w:p w:rsidR="001E148C" w:rsidRDefault="00ED3C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Ніжинського обласного педагогічного ліцею</w:t>
      </w:r>
    </w:p>
    <w:p w:rsidR="001E148C" w:rsidRDefault="00ED3C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обласної ради</w:t>
      </w:r>
    </w:p>
    <w:p w:rsidR="001E148C" w:rsidRDefault="001E148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E148C" w:rsidRDefault="00ED3CAE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наказу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вересня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168-Н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дисциплін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по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лютого </w:t>
      </w:r>
      <w:r>
        <w:rPr>
          <w:rFonts w:ascii="Times New Roman" w:eastAsia="Calibri" w:hAnsi="Times New Roman" w:cs="Times New Roman"/>
          <w:sz w:val="28"/>
          <w:szCs w:val="28"/>
        </w:rPr>
        <w:t>2024 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Т. Шевчук; 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заступник директора з НВР С. 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рпенко; члени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заступник директора з ВР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Вантух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іноземних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Мухінська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суспільно-гуманітарних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дисциплін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Івахно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природничо-математичних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дисциплін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А.Євт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ушенко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вихователів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вивчався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досягнень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інформатики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1E148C" w:rsidRDefault="00ED3CAE">
      <w:pPr>
        <w:spacing w:after="0"/>
        <w:ind w:right="-1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стану викладання інформатики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співбесід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 документацією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довідці за 2017</w:t>
      </w:r>
      <w:r>
        <w:rPr>
          <w:rFonts w:ascii="Times New Roman" w:hAnsi="Times New Roman" w:cs="Times New Roman"/>
          <w:sz w:val="28"/>
          <w:szCs w:val="28"/>
        </w:rPr>
        <w:t xml:space="preserve">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148C" w:rsidRDefault="00ED3CAE">
      <w:pPr>
        <w:numPr>
          <w:ilvl w:val="0"/>
          <w:numId w:val="1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48C" w:rsidRDefault="00ED3CAE">
      <w:pPr>
        <w:numPr>
          <w:ilvl w:val="0"/>
          <w:numId w:val="1"/>
        </w:numPr>
        <w:spacing w:after="0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48C" w:rsidRDefault="00ED3CAE">
      <w:pPr>
        <w:numPr>
          <w:ilvl w:val="0"/>
          <w:numId w:val="1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навчально-матеріальна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148C" w:rsidRDefault="00ED3CAE">
      <w:pPr>
        <w:numPr>
          <w:ilvl w:val="0"/>
          <w:numId w:val="1"/>
        </w:numPr>
        <w:spacing w:after="0"/>
        <w:ind w:left="0" w:right="-1"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поурочних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</w:t>
      </w:r>
      <w:r>
        <w:rPr>
          <w:rFonts w:ascii="Times New Roman" w:hAnsi="Times New Roman" w:cs="Times New Roman"/>
          <w:sz w:val="28"/>
          <w:szCs w:val="28"/>
        </w:rPr>
        <w:t>арно-тематичних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науково-теоретичний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148C" w:rsidRDefault="00ED3CAE">
      <w:pPr>
        <w:numPr>
          <w:ilvl w:val="0"/>
          <w:numId w:val="1"/>
        </w:numPr>
        <w:spacing w:after="0"/>
        <w:ind w:left="0" w:right="-1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аспект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148C" w:rsidRDefault="00ED3CAE">
      <w:pPr>
        <w:numPr>
          <w:ilvl w:val="0"/>
          <w:numId w:val="2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співбесіда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48C" w:rsidRDefault="00ED3CAE">
      <w:pPr>
        <w:numPr>
          <w:ilvl w:val="0"/>
          <w:numId w:val="2"/>
        </w:numPr>
        <w:spacing w:after="0"/>
        <w:ind w:left="0" w:right="-1"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календарно-тематичних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>рналів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48C" w:rsidRDefault="00ED3CAE">
      <w:pPr>
        <w:numPr>
          <w:ilvl w:val="0"/>
          <w:numId w:val="2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8C" w:rsidRDefault="00ED3CAE">
      <w:pPr>
        <w:ind w:right="-284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перевірки встановлено, що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4BE">
        <w:rPr>
          <w:rFonts w:ascii="Times New Roman" w:hAnsi="Times New Roman" w:cs="Times New Roman"/>
          <w:sz w:val="28"/>
          <w:szCs w:val="28"/>
        </w:rPr>
        <w:t>відп</w:t>
      </w:r>
      <w:r w:rsidRPr="00D134BE">
        <w:rPr>
          <w:rFonts w:ascii="Times New Roman" w:hAnsi="Times New Roman" w:cs="Times New Roman"/>
          <w:sz w:val="28"/>
          <w:szCs w:val="28"/>
        </w:rPr>
        <w:t>овідно</w:t>
      </w:r>
      <w:proofErr w:type="spellEnd"/>
      <w:r w:rsidRPr="00D1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4B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134B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148C" w:rsidRDefault="00ED3CAE">
      <w:pPr>
        <w:pStyle w:val="aa"/>
        <w:numPr>
          <w:ilvl w:val="0"/>
          <w:numId w:val="3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Л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ист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серпня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№ 1/12186-23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вересня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№ 1/13749-23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нструктивно-методичні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/інтегрованих курсів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E148C" w:rsidRDefault="00ED3CAE">
      <w:pPr>
        <w:pStyle w:val="aa"/>
        <w:numPr>
          <w:ilvl w:val="0"/>
          <w:numId w:val="3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</w:t>
      </w:r>
      <w:r>
        <w:rPr>
          <w:rFonts w:ascii="Times New Roman" w:hAnsi="Times New Roman" w:cs="Times New Roman"/>
          <w:sz w:val="28"/>
          <w:szCs w:val="28"/>
          <w:lang w:val="uk-UA"/>
        </w:rPr>
        <w:t>е планування створено на основі програми «Інформатика.</w:t>
      </w:r>
    </w:p>
    <w:p w:rsidR="001E148C" w:rsidRDefault="00ED3CAE">
      <w:pPr>
        <w:pStyle w:val="aa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програма для учнів 10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11 класів загальноосвітніх навчальних закладів (Рівень стандарту)» (Автори: І.О. Завадський, Ю.О.Дорошенко, Ж.В. Потапова) https://mon.gov.ua/storage/app/media/zagalna%2</w:t>
      </w:r>
      <w:r>
        <w:rPr>
          <w:rFonts w:ascii="Times New Roman" w:hAnsi="Times New Roman" w:cs="Times New Roman"/>
          <w:sz w:val="28"/>
          <w:szCs w:val="28"/>
          <w:lang w:val="uk-UA"/>
        </w:rPr>
        <w:t>0serednya/programy-10-11-</w:t>
      </w:r>
    </w:p>
    <w:p w:rsidR="001E148C" w:rsidRDefault="00ED3CAE">
      <w:pPr>
        <w:pStyle w:val="aa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klas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/2018-2019/informatika-standart-10-11.docx</w:t>
      </w:r>
    </w:p>
    <w:p w:rsidR="001E148C" w:rsidRPr="00776581" w:rsidRDefault="00ED3CAE" w:rsidP="00776581">
      <w:pPr>
        <w:pStyle w:val="aa"/>
        <w:numPr>
          <w:ilvl w:val="0"/>
          <w:numId w:val="3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Наказів МОНУ №496 від 03 червня 2008 року «Про затвердження Інструкції з ведення класного журналу учнів 5-11(12) класів загальноосвітніх навчальних закладів»; від 13 квітня 2011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№329 «Критерії оцінювання навчальних досягнень учнів у сист</w:t>
      </w:r>
      <w:r w:rsidR="00776581">
        <w:rPr>
          <w:rFonts w:ascii="Times New Roman" w:hAnsi="Times New Roman" w:cs="Times New Roman"/>
          <w:sz w:val="28"/>
          <w:szCs w:val="28"/>
          <w:lang w:val="uk-UA"/>
        </w:rPr>
        <w:t>емі загальної середньої освіти</w:t>
      </w:r>
      <w:r w:rsidR="00776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</w:t>
      </w:r>
      <w:r w:rsidR="00776581" w:rsidRPr="00776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776581" w:rsidRPr="007765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76581" w:rsidRPr="0077658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"https://zakon.rada.gov.ua/laws/show/en/z0229-02" \t "_blank" </w:instrText>
      </w:r>
      <w:r w:rsidR="00776581" w:rsidRPr="007765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від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20</w:t>
      </w:r>
      <w:r w:rsid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лютого </w:t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2002</w:t>
      </w:r>
      <w:r w:rsid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року</w:t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№128</w:t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«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Про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затвердження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Нормативів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наповнюваності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груп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дошкільних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закладів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ясел-садків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компенсуючого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типу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класів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спеціальних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шкіл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шкіл-інтернатів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груп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подовженого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дня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виховних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груп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закладів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усіх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типів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та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Порядку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поділу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класів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на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групи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при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вивченні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окремих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предметів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закладах</w:t>
      </w:r>
      <w:proofErr w:type="spellEnd"/>
      <w:r w:rsidR="00776581" w:rsidRPr="00776581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="00776581" w:rsidRPr="007765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76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148C" w:rsidRDefault="00ED3CAE">
      <w:pPr>
        <w:pStyle w:val="aa"/>
        <w:ind w:left="0" w:right="-284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</w:t>
      </w:r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Із метою уникнення одногодинного тижневого вивчення  інформатики у класах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української та іноземної філології, предмет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вивчався протягом першого семестру. Щороку перед початком вивчення предмета вчителі проводять інструктаж із записами у відповідному жу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рналі. Ті учні, які навчаються  дистанційно, проходять інструктаж шляхом заповнення </w:t>
      </w:r>
      <w:r>
        <w:rPr>
          <w:rFonts w:ascii="Times New Roman" w:hAnsi="Times New Roman" w:cs="Times New Roman"/>
          <w:color w:val="00000A"/>
          <w:sz w:val="28"/>
          <w:szCs w:val="28"/>
        </w:rPr>
        <w:t>Google-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форми.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Усі 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забезпечені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підручниками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10 та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електронними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версіями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підручник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розміщені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предметних курсах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Google Workspace for Education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 саме: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Інформатика (рівень стандарту): підручник для 10 (11) класу закладів загальної середньої освіти/ Й.Я.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Київ: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2019. – 144 с.</w:t>
      </w:r>
    </w:p>
    <w:p w:rsidR="001E148C" w:rsidRDefault="00ED3CAE">
      <w:pPr>
        <w:pStyle w:val="aa"/>
        <w:ind w:left="0" w:right="-284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закладі освіти забезпечує Харченко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Миколайович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>,який працює на умовах сумісництва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, спеціаліст вищої категорії, учитель-методист, стаж роботи – 42 роки;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Чернишова Еліна Олександрівна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тижневе навантаження становить 7 годин; Ігнатенко Тетяна Григорівна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стаж роботи - 32 роки, спеціаліст І категорії, тижневе навантаження із інформатики - 5 годин на тиждень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>, працює за сумісництвом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Педагоги беруть  участь у роботі кафедри 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ителів природничо-математичних дисциплін, займаються самоосвітою, проходять курси підвищення кваліфікації, діляться досвідом із колегами. 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отримали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сертифікати,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дають право працювати з операційною системою 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Chrom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-О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пройшовши навчання 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онлайн-курсі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«Цифрові інструменти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освіти».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Миколайович Харченко є членом журі І етапу Всеукраїнського конкурсу-захисту МАН України, експертом на міському етапі Всеукраїнських учнівських олімпіад з інформатики та інформаційних технол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«Юний програміст».</w:t>
      </w:r>
    </w:p>
    <w:p w:rsidR="001E148C" w:rsidRDefault="00ED3CAE">
      <w:pPr>
        <w:pStyle w:val="aa"/>
        <w:ind w:left="0" w:right="-284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комп’ютерних класах Ніжинського державного університету імені Миколи Гоголя, кабінеті інформаційних технологій ліцею які обладнані 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дповідно до вимог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Google Workspace for Education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Chromebook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графічний планшет. За умови звучання сигналу «Повітряна тривога» заняття проводяться в укритті. 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 ознайомлені зі змістом  навчальної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й особливостями викладання предмета.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Календарно-тематичне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занять складе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досягнення учнів оцінюються відповідно до критеріїв оцінювання навчальних досягнень учнів  з інформатики. Самі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критерії  розмішено на платформі.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Записи в журналах відповідають календарним планам. Класні журнали заповнюються своєчасно. Проведена необхідна кількість обов’язкових видів робіт,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класах виставлено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„Тематична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відповідно до календарного плану. 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телі інформатики ліцею мають належну науково-теоретичну підготовку, забезпечують засвоєння учнями основних понять, формування практичних умінь та навичок, передбачених програмою, грамотно ставлять мету уроку, знаходять шляхи її реалізації. На уроках вдало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застосовують сучасні форми й методи навчання,  які активізують розумову діяльність учнів, сприяють підвищенню в них  інтересу до вивчення предмету.</w:t>
      </w:r>
    </w:p>
    <w:p w:rsidR="001E148C" w:rsidRDefault="00ED3CAE">
      <w:pPr>
        <w:pStyle w:val="aa"/>
        <w:ind w:left="0" w:right="-284"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лекційно-практичний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поєдную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засвоєння учнями основних понять та термінів практикується ведення зошитів. Практичні роботи учнів зберігаються у електронному вигляді на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робочому столі ПК кожного учня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 в мережевій папці.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теми,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вивчається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Учителі проводять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проміжні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поповнюю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Педагоги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икористовую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відео-матеріали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lastRenderedPageBreak/>
        <w:t>У закладі приділяється значна увага роботі з обдарованими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Щороку ліцеїсти беруть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педметних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оліпіадах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конкурсах, стають переможцями.  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ІІ етапі Всеукраїнського конкурсу-захисту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науково-дослідницьких робіт МАН України  учениця 11 класу математичного профілю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Денисайко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виборола диплом І ступеня, секція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вебдизайн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взяла участь у ІІІ етапі конкурсу. Керувала роботою учениці вчитель Е.Чернишова.</w:t>
      </w:r>
    </w:p>
    <w:p w:rsidR="001E148C" w:rsidRDefault="00ED3CAE">
      <w:pPr>
        <w:pStyle w:val="aa"/>
        <w:ind w:left="0" w:right="-284"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навчальних досягнень учнів з інформатики перевірено під час проведення контрольних зрізів знань у 10 класі математичного профілю, 11 класах ліцею. Завдання для проведення зрізів знань складалися із практичної та теоретичної частин.  Результати навед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 у таблиці. </w:t>
      </w:r>
    </w:p>
    <w:p w:rsidR="001E148C" w:rsidRDefault="001E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0195" w:type="dxa"/>
        <w:jc w:val="center"/>
        <w:tblLook w:val="04A0" w:firstRow="1" w:lastRow="0" w:firstColumn="1" w:lastColumn="0" w:noHBand="0" w:noVBand="1"/>
      </w:tblPr>
      <w:tblGrid>
        <w:gridCol w:w="445"/>
        <w:gridCol w:w="1035"/>
        <w:gridCol w:w="1381"/>
        <w:gridCol w:w="52"/>
        <w:gridCol w:w="454"/>
        <w:gridCol w:w="52"/>
        <w:gridCol w:w="454"/>
        <w:gridCol w:w="12"/>
        <w:gridCol w:w="486"/>
        <w:gridCol w:w="8"/>
        <w:gridCol w:w="506"/>
        <w:gridCol w:w="61"/>
        <w:gridCol w:w="445"/>
        <w:gridCol w:w="69"/>
        <w:gridCol w:w="437"/>
        <w:gridCol w:w="61"/>
        <w:gridCol w:w="445"/>
        <w:gridCol w:w="56"/>
        <w:gridCol w:w="450"/>
        <w:gridCol w:w="29"/>
        <w:gridCol w:w="477"/>
        <w:gridCol w:w="8"/>
        <w:gridCol w:w="498"/>
        <w:gridCol w:w="506"/>
        <w:gridCol w:w="576"/>
        <w:gridCol w:w="640"/>
        <w:gridCol w:w="709"/>
      </w:tblGrid>
      <w:tr w:rsidR="001E148C">
        <w:trPr>
          <w:cantSplit/>
          <w:trHeight w:val="585"/>
          <w:jc w:val="center"/>
        </w:trPr>
        <w:tc>
          <w:tcPr>
            <w:tcW w:w="438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019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1E148C" w:rsidRDefault="00ED3CA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Клас, курс</w:t>
            </w:r>
          </w:p>
        </w:tc>
        <w:tc>
          <w:tcPr>
            <w:tcW w:w="1359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1E148C" w:rsidRDefault="00ED3CA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499" w:type="dxa"/>
            <w:gridSpan w:val="2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498" w:type="dxa"/>
            <w:gridSpan w:val="2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Писало</w:t>
            </w:r>
          </w:p>
        </w:tc>
        <w:tc>
          <w:tcPr>
            <w:tcW w:w="99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 б</w:t>
            </w:r>
          </w:p>
        </w:tc>
        <w:tc>
          <w:tcPr>
            <w:tcW w:w="99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 б</w:t>
            </w:r>
          </w:p>
        </w:tc>
        <w:tc>
          <w:tcPr>
            <w:tcW w:w="99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б</w:t>
            </w:r>
          </w:p>
        </w:tc>
        <w:tc>
          <w:tcPr>
            <w:tcW w:w="99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 б</w:t>
            </w:r>
          </w:p>
        </w:tc>
        <w:tc>
          <w:tcPr>
            <w:tcW w:w="106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якості</w:t>
            </w:r>
          </w:p>
        </w:tc>
        <w:tc>
          <w:tcPr>
            <w:tcW w:w="13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успішності</w:t>
            </w:r>
          </w:p>
        </w:tc>
      </w:tr>
      <w:tr w:rsidR="001E148C">
        <w:trPr>
          <w:cantSplit/>
          <w:trHeight w:hRule="exact" w:val="1134"/>
          <w:jc w:val="center"/>
        </w:trPr>
        <w:tc>
          <w:tcPr>
            <w:tcW w:w="438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1E148C" w:rsidRDefault="001E148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9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1E148C" w:rsidRDefault="001E148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9" w:type="dxa"/>
            <w:gridSpan w:val="2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1E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8" w:type="dxa"/>
            <w:gridSpan w:val="2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1E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E148C">
        <w:trPr>
          <w:jc w:val="center"/>
        </w:trPr>
        <w:tc>
          <w:tcPr>
            <w:tcW w:w="438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9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мат</w:t>
            </w: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В.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Чернишова Е.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зріз знань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9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мат</w:t>
            </w: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В.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Чернишова Е.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5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зріз знань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00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19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ін.мов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В.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6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Т.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6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3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8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19" w:type="dxa"/>
            <w:vMerge w:val="restart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укр.філ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В.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6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8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Т.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6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3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8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148C">
        <w:trPr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</w:tcPr>
          <w:p w:rsidR="001E148C" w:rsidRDefault="001E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0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зріз знань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6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76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3" w:type="dxa"/>
            <w:gridSpan w:val="3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9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8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0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6" w:type="dxa"/>
            <w:gridSpan w:val="2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:rsidR="001E148C" w:rsidRDefault="00ED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1E148C" w:rsidRDefault="00ED3CA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роботах були допущені певні помилки: неправильне написання функцій, нераціональний вибір методу розв’язання тощо. Виникли деякі труднощі в учнів під час створення математичних моделей задач,  при використанні візуальних компонентів.</w:t>
      </w:r>
    </w:p>
    <w:p w:rsidR="001E148C" w:rsidRDefault="00ED3CA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показало,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більшість учнів знають основні поняття інформатики, розуміють, що таке інформаційна безпека, які існують типи шкідливого програмного забезпечення та інші загрози під час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мережі Інтернет, орієнтуються в способах і методах захисту даних як 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асних, так і корпоративних. </w:t>
      </w:r>
    </w:p>
    <w:p w:rsidR="001E148C" w:rsidRDefault="00ED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10-х класах деякими учнями були допущені помилки при введені формул, не завершені завдання на наближене розв’язання рівнянь. Разом з тим учні гарно будують діаграми, правильно використовують статистичні функції. В 11 класах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омилки зустрічалися в питаннях, пов’язаних із цілями забезпечення цілісності даних, інструментами виявлення інцидентів, ланцюгом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кібервбивств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Тест засвідчив, що учні засвоїли програмовий матеріал, розуміють, що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кібербезпека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практичних прикладах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жуть правильно оцінити ситуацію і обрати необхідні інструменти та методи захисту. </w:t>
      </w:r>
    </w:p>
    <w:p w:rsidR="001E148C" w:rsidRDefault="00ED3CAE">
      <w:pPr>
        <w:tabs>
          <w:tab w:val="left" w:pos="851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стану викладання інформатики в ліцеї свідчить про те, що заклад освіти повністю забезпечений педагогічними працівниками, які мають необхідну освіту та рівень педаг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огічної кваліфікації; вчителі викладають програмовий матеріал у повному обсязі , використовують в освітньому процесі наочні засоби, елементи інтерактивних методик та платформу </w:t>
      </w:r>
      <w:r>
        <w:rPr>
          <w:rFonts w:ascii="Times New Roman" w:hAnsi="Times New Roman" w:cs="Times New Roman"/>
          <w:sz w:val="28"/>
          <w:szCs w:val="28"/>
        </w:rPr>
        <w:t xml:space="preserve">Google Workspace for Education. </w:t>
      </w:r>
      <w:r>
        <w:rPr>
          <w:rFonts w:ascii="Times New Roman" w:hAnsi="Times New Roman" w:cs="Times New Roman"/>
          <w:sz w:val="28"/>
          <w:szCs w:val="28"/>
          <w:lang w:val="uk-UA"/>
        </w:rPr>
        <w:t>У ліцеї організована системна робота щодо контро</w:t>
      </w:r>
      <w:r>
        <w:rPr>
          <w:rFonts w:ascii="Times New Roman" w:hAnsi="Times New Roman" w:cs="Times New Roman"/>
          <w:sz w:val="28"/>
          <w:szCs w:val="28"/>
          <w:lang w:val="uk-UA"/>
        </w:rPr>
        <w:t>лю за якістю знань учнів. Педагоги у повній мірі використовують  матеріально-технічне забезпечення закладу. Адміністрація постійно здійснює контроль за станом викладання інформатики.</w:t>
      </w:r>
    </w:p>
    <w:p w:rsidR="001E148C" w:rsidRDefault="00ED3CA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викладання інформатики вважати задовільним.</w:t>
      </w:r>
    </w:p>
    <w:p w:rsidR="001E148C" w:rsidRDefault="00ED3CAE">
      <w:pPr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пропонуємо: </w:t>
      </w:r>
    </w:p>
    <w:p w:rsidR="00ED3CAE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148C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АДМІНІСТРАЦІЇ:</w:t>
      </w:r>
    </w:p>
    <w:p w:rsidR="001E148C" w:rsidRPr="0048616A" w:rsidRDefault="00ED3CAE" w:rsidP="0048616A">
      <w:pPr>
        <w:pStyle w:val="aa"/>
        <w:numPr>
          <w:ilvl w:val="1"/>
          <w:numId w:val="4"/>
        </w:numPr>
        <w:tabs>
          <w:tab w:val="left" w:pos="284"/>
        </w:tabs>
        <w:spacing w:after="0"/>
        <w:ind w:hanging="144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матеріально-технічне забезпечення предмета.</w:t>
      </w:r>
    </w:p>
    <w:p w:rsidR="001E148C" w:rsidRDefault="00ED3CAE" w:rsidP="006513B9">
      <w:pPr>
        <w:pStyle w:val="aa"/>
        <w:numPr>
          <w:ilvl w:val="1"/>
          <w:numId w:val="4"/>
        </w:numPr>
        <w:tabs>
          <w:tab w:val="clear" w:pos="1440"/>
          <w:tab w:val="left" w:pos="0"/>
          <w:tab w:val="num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Залучити  вчителів  інформатики для обміну досвідом на </w:t>
      </w:r>
      <w:r w:rsidRPr="00B66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методичному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 щодо </w:t>
      </w:r>
      <w:r w:rsidR="00B663F5" w:rsidRPr="00B66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</w:t>
      </w:r>
      <w:r w:rsidR="00B66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B663F5" w:rsidRPr="00B66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над науково-методичною темою «Соціалізація ліце</w:t>
      </w:r>
      <w:r>
        <w:rPr>
          <w:rFonts w:ascii="Times New Roman" w:hAnsi="Times New Roman" w:cs="Times New Roman"/>
          <w:sz w:val="28"/>
          <w:szCs w:val="28"/>
          <w:lang w:val="uk-UA"/>
        </w:rPr>
        <w:t>їстів в умовах профільної середньої освіти».</w:t>
      </w:r>
    </w:p>
    <w:p w:rsidR="00ED3CAE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8616A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ГОЛОВІ ПРЕДМЕТНОЇ КАФЕДРИ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148C" w:rsidRPr="0048616A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16A">
        <w:rPr>
          <w:rFonts w:ascii="Times New Roman" w:hAnsi="Times New Roman" w:cs="Times New Roman"/>
          <w:sz w:val="28"/>
          <w:szCs w:val="28"/>
          <w:lang w:val="uk-UA"/>
        </w:rPr>
        <w:t>1.Активізувати роботу вчителів інформатики з представлення власного досвіду у фахових конкурсах, виданнях тощо</w:t>
      </w:r>
    </w:p>
    <w:p w:rsidR="001E148C" w:rsidRDefault="0048616A" w:rsidP="0048616A">
      <w:pPr>
        <w:tabs>
          <w:tab w:val="left" w:pos="851"/>
        </w:tabs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роботи кафедри подавати клопотання щодо морального та матеріального </w:t>
      </w:r>
      <w:r w:rsidR="00776581">
        <w:rPr>
          <w:rFonts w:ascii="Times New Roman" w:hAnsi="Times New Roman" w:cs="Times New Roman"/>
          <w:sz w:val="28"/>
          <w:szCs w:val="28"/>
          <w:lang w:val="uk-UA"/>
        </w:rPr>
        <w:t>заохочення вчителів інформатики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на спільному засіданні ПР та РЛ.</w:t>
      </w:r>
    </w:p>
    <w:p w:rsidR="001E148C" w:rsidRDefault="00ED3CAE" w:rsidP="0048616A">
      <w:pPr>
        <w:tabs>
          <w:tab w:val="left" w:pos="851"/>
        </w:tabs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663F5">
        <w:rPr>
          <w:rFonts w:ascii="Times New Roman" w:hAnsi="Times New Roman" w:cs="Times New Roman"/>
          <w:sz w:val="28"/>
          <w:szCs w:val="28"/>
          <w:lang w:val="uk-UA"/>
        </w:rPr>
        <w:t xml:space="preserve">безпечити використання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ІІ, ІІІ етапів предметних олімпіад, наданих ЧОІППО імені К.Д. Ушинського, у роботі з обдарованими учнями. </w:t>
      </w:r>
    </w:p>
    <w:p w:rsidR="00ED3CAE" w:rsidRDefault="00ED3CAE" w:rsidP="0048616A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148C" w:rsidRDefault="00ED3CAE" w:rsidP="0048616A">
      <w:pPr>
        <w:spacing w:after="0" w:line="264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ВЧИТЕЛЯМ ІНФОРМАТИКИ</w:t>
      </w:r>
    </w:p>
    <w:p w:rsidR="001E148C" w:rsidRDefault="0048616A">
      <w:pPr>
        <w:spacing w:after="0" w:line="264" w:lineRule="auto"/>
        <w:ind w:right="-1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родовж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роботу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забезпеченн</w:t>
      </w:r>
      <w:proofErr w:type="spellEnd"/>
      <w:r w:rsidR="00ED3C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методичного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="00ED3C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3CAE">
        <w:rPr>
          <w:rFonts w:ascii="Times New Roman" w:hAnsi="Times New Roman" w:cs="Times New Roman"/>
          <w:sz w:val="28"/>
          <w:szCs w:val="28"/>
        </w:rPr>
        <w:t xml:space="preserve"> „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Інфор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матика</w:t>
      </w:r>
      <w:r w:rsidR="00ED3CAE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D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4BE" w:rsidRPr="00D134BE" w:rsidRDefault="0048616A">
      <w:pPr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134BE">
        <w:rPr>
          <w:rFonts w:ascii="Times New Roman" w:hAnsi="Times New Roman" w:cs="Times New Roman"/>
          <w:sz w:val="28"/>
          <w:szCs w:val="28"/>
          <w:lang w:val="uk-UA"/>
        </w:rPr>
        <w:t xml:space="preserve">Ділитися досвідом використання інструментів для </w:t>
      </w:r>
      <w:proofErr w:type="spellStart"/>
      <w:r w:rsidR="00ED3CAE">
        <w:rPr>
          <w:rFonts w:ascii="Times New Roman" w:hAnsi="Times New Roman" w:cs="Times New Roman"/>
          <w:sz w:val="28"/>
          <w:szCs w:val="28"/>
          <w:lang w:val="uk-UA"/>
        </w:rPr>
        <w:t>зворотн</w:t>
      </w:r>
      <w:r w:rsidR="00D134BE">
        <w:rPr>
          <w:rFonts w:ascii="Times New Roman" w:hAnsi="Times New Roman" w:cs="Times New Roman"/>
          <w:sz w:val="28"/>
          <w:szCs w:val="28"/>
          <w:lang w:val="uk-UA"/>
        </w:rPr>
        <w:t>ього</w:t>
      </w:r>
      <w:proofErr w:type="spellEnd"/>
      <w:r w:rsidR="00D1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зв'я</w:t>
      </w:r>
      <w:r w:rsidR="00D134BE">
        <w:rPr>
          <w:rFonts w:ascii="Times New Roman" w:hAnsi="Times New Roman" w:cs="Times New Roman"/>
          <w:sz w:val="28"/>
          <w:szCs w:val="28"/>
          <w:lang w:val="uk-UA"/>
        </w:rPr>
        <w:t>зку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D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D134BE">
        <w:rPr>
          <w:rFonts w:ascii="Times New Roman" w:hAnsi="Times New Roman" w:cs="Times New Roman"/>
          <w:sz w:val="28"/>
          <w:szCs w:val="28"/>
          <w:lang w:val="uk-UA"/>
        </w:rPr>
        <w:t xml:space="preserve"> в умовах змішаного навчання.</w:t>
      </w:r>
    </w:p>
    <w:p w:rsidR="00ED3CAE" w:rsidRDefault="00ED3CAE">
      <w:pPr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D3CAE" w:rsidRDefault="00ED3CAE">
      <w:pPr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48C" w:rsidRDefault="0048616A">
      <w:pPr>
        <w:spacing w:after="0" w:line="264" w:lineRule="auto"/>
        <w:ind w:right="-1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75E9B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помилки, допущені під час зрізів знань,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подолання освітн</w:t>
      </w:r>
      <w:r w:rsidR="00ED3CAE">
        <w:rPr>
          <w:rFonts w:ascii="Times New Roman" w:hAnsi="Times New Roman" w:cs="Times New Roman"/>
          <w:sz w:val="28"/>
          <w:szCs w:val="28"/>
          <w:lang w:val="uk-UA"/>
        </w:rPr>
        <w:t>іх втрат.</w:t>
      </w:r>
    </w:p>
    <w:p w:rsidR="001E148C" w:rsidRDefault="00ED3CA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Тетяна ШЕВЧУК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Світлана КАРПЕНКО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Тетяна ВАНТУХ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кафедри вчителів 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природничо-математичних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ЄВТУШЕНКО</w:t>
      </w:r>
    </w:p>
    <w:p w:rsidR="001E148C" w:rsidRDefault="00ED3CA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кафедри вчителів </w:t>
      </w:r>
    </w:p>
    <w:p w:rsidR="001E148C" w:rsidRDefault="00ED3CA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суспільно-гуманітарних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ІВАХНО</w:t>
      </w:r>
    </w:p>
    <w:p w:rsidR="001E148C" w:rsidRDefault="00ED3CAE">
      <w:pPr>
        <w:spacing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кафедри вчителів іноземних мов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МУХІНСЬКА</w:t>
      </w:r>
    </w:p>
    <w:p w:rsidR="001E148C" w:rsidRDefault="001E148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148C" w:rsidRDefault="001E148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148C" w:rsidRDefault="001E148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148C" w:rsidRDefault="001E148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148C" w:rsidRDefault="001E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48C" w:rsidRDefault="001E148C">
      <w:pPr>
        <w:pStyle w:val="aa"/>
        <w:spacing w:after="0"/>
        <w:jc w:val="both"/>
      </w:pPr>
    </w:p>
    <w:sectPr w:rsidR="001E148C">
      <w:pgSz w:w="11906" w:h="16838"/>
      <w:pgMar w:top="709" w:right="850" w:bottom="567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4F6"/>
    <w:multiLevelType w:val="multilevel"/>
    <w:tmpl w:val="08C6F48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CAD7D47"/>
    <w:multiLevelType w:val="multilevel"/>
    <w:tmpl w:val="A4A8727C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 w:cs="Symbol" w:hint="default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0C7345A"/>
    <w:multiLevelType w:val="multilevel"/>
    <w:tmpl w:val="38DA5A04"/>
    <w:lvl w:ilvl="0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cs="Wingdings" w:hint="default"/>
      </w:rPr>
    </w:lvl>
  </w:abstractNum>
  <w:abstractNum w:abstractNumId="3">
    <w:nsid w:val="56D45D71"/>
    <w:multiLevelType w:val="multilevel"/>
    <w:tmpl w:val="243EB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3614"/>
    <w:multiLevelType w:val="multilevel"/>
    <w:tmpl w:val="ADAE5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8C"/>
    <w:rsid w:val="001E148C"/>
    <w:rsid w:val="0048616A"/>
    <w:rsid w:val="004C6EE0"/>
    <w:rsid w:val="00575E9B"/>
    <w:rsid w:val="006513B9"/>
    <w:rsid w:val="00776581"/>
    <w:rsid w:val="00A61D88"/>
    <w:rsid w:val="00AC051B"/>
    <w:rsid w:val="00B663F5"/>
    <w:rsid w:val="00D134BE"/>
    <w:rsid w:val="00E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4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D5610"/>
    <w:rPr>
      <w:color w:val="0000FF" w:themeColor="hyperlink"/>
      <w:u w:val="single"/>
    </w:rPr>
  </w:style>
  <w:style w:type="character" w:customStyle="1" w:styleId="a3">
    <w:name w:val="Текст у виносці Знак"/>
    <w:basedOn w:val="a0"/>
    <w:uiPriority w:val="99"/>
    <w:semiHidden/>
    <w:qFormat/>
    <w:rsid w:val="00731B4E"/>
    <w:rPr>
      <w:rFonts w:ascii="Tahoma" w:eastAsiaTheme="majorEastAsia" w:hAnsi="Tahoma" w:cs="Tahoma"/>
      <w:sz w:val="16"/>
      <w:szCs w:val="16"/>
      <w:lang w:val="en-US" w:bidi="en-US"/>
    </w:rPr>
  </w:style>
  <w:style w:type="character" w:styleId="a4">
    <w:name w:val="Strong"/>
    <w:qFormat/>
    <w:rsid w:val="00F854E2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Symbol"/>
      <w:b/>
      <w:sz w:val="28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</w:rPr>
  </w:style>
  <w:style w:type="character" w:customStyle="1" w:styleId="ListLabel42">
    <w:name w:val="ListLabel 42"/>
    <w:qFormat/>
    <w:rPr>
      <w:rFonts w:ascii="Times New Roman" w:hAnsi="Times New Roman" w:cs="Arial"/>
      <w:sz w:val="24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8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EC14D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31B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4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76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4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D5610"/>
    <w:rPr>
      <w:color w:val="0000FF" w:themeColor="hyperlink"/>
      <w:u w:val="single"/>
    </w:rPr>
  </w:style>
  <w:style w:type="character" w:customStyle="1" w:styleId="a3">
    <w:name w:val="Текст у виносці Знак"/>
    <w:basedOn w:val="a0"/>
    <w:uiPriority w:val="99"/>
    <w:semiHidden/>
    <w:qFormat/>
    <w:rsid w:val="00731B4E"/>
    <w:rPr>
      <w:rFonts w:ascii="Tahoma" w:eastAsiaTheme="majorEastAsia" w:hAnsi="Tahoma" w:cs="Tahoma"/>
      <w:sz w:val="16"/>
      <w:szCs w:val="16"/>
      <w:lang w:val="en-US" w:bidi="en-US"/>
    </w:rPr>
  </w:style>
  <w:style w:type="character" w:styleId="a4">
    <w:name w:val="Strong"/>
    <w:qFormat/>
    <w:rsid w:val="00F854E2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Symbol"/>
      <w:b/>
      <w:sz w:val="28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</w:rPr>
  </w:style>
  <w:style w:type="character" w:customStyle="1" w:styleId="ListLabel42">
    <w:name w:val="ListLabel 42"/>
    <w:qFormat/>
    <w:rPr>
      <w:rFonts w:ascii="Times New Roman" w:hAnsi="Times New Roman" w:cs="Arial"/>
      <w:sz w:val="24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8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EC14D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31B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4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76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88B73D-DDE0-464A-A81E-56C6060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8280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Сліпак</cp:lastModifiedBy>
  <cp:revision>9</cp:revision>
  <cp:lastPrinted>2019-01-10T08:38:00Z</cp:lastPrinted>
  <dcterms:created xsi:type="dcterms:W3CDTF">2024-02-29T06:22:00Z</dcterms:created>
  <dcterms:modified xsi:type="dcterms:W3CDTF">2024-02-29T07:17:00Z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