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D2" w:rsidRDefault="00F65B9E">
      <w:pPr>
        <w:pStyle w:val="a3"/>
      </w:pPr>
      <w:r>
        <w:t>Довідка</w:t>
      </w:r>
    </w:p>
    <w:p w:rsidR="00A112D2" w:rsidRDefault="00F65B9E">
      <w:pPr>
        <w:jc w:val="center"/>
        <w:rPr>
          <w:b/>
          <w:sz w:val="28"/>
        </w:rPr>
      </w:pPr>
      <w:r>
        <w:rPr>
          <w:b/>
          <w:sz w:val="28"/>
        </w:rPr>
        <w:t>про стан викладання та якість</w:t>
      </w:r>
    </w:p>
    <w:p w:rsidR="00A112D2" w:rsidRDefault="00F65B9E">
      <w:pPr>
        <w:jc w:val="center"/>
        <w:rPr>
          <w:b/>
          <w:sz w:val="28"/>
        </w:rPr>
      </w:pPr>
      <w:r>
        <w:rPr>
          <w:b/>
          <w:sz w:val="28"/>
        </w:rPr>
        <w:t xml:space="preserve">навчальних досягнень учнів із економіки у 2014/2015 </w:t>
      </w:r>
      <w:proofErr w:type="spellStart"/>
      <w:r>
        <w:rPr>
          <w:b/>
          <w:sz w:val="28"/>
        </w:rPr>
        <w:t>н.р</w:t>
      </w:r>
      <w:proofErr w:type="spellEnd"/>
      <w:r>
        <w:rPr>
          <w:b/>
          <w:sz w:val="28"/>
        </w:rPr>
        <w:t>.</w:t>
      </w:r>
    </w:p>
    <w:p w:rsidR="00A112D2" w:rsidRDefault="00A112D2">
      <w:pPr>
        <w:spacing w:line="276" w:lineRule="auto"/>
        <w:ind w:firstLine="993"/>
        <w:jc w:val="both"/>
        <w:rPr>
          <w:sz w:val="28"/>
        </w:rPr>
      </w:pPr>
    </w:p>
    <w:p w:rsidR="00A112D2" w:rsidRDefault="00F65B9E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 xml:space="preserve">На виконання річного плану роботи, наказу по ліцею від  </w:t>
      </w:r>
      <w:r w:rsidR="00376324" w:rsidRPr="00376324">
        <w:rPr>
          <w:sz w:val="28"/>
        </w:rPr>
        <w:t>10.09.2014</w:t>
      </w:r>
      <w:r w:rsidRPr="00376324">
        <w:rPr>
          <w:sz w:val="28"/>
          <w:shd w:val="clear" w:color="auto" w:fill="FFFF00"/>
        </w:rPr>
        <w:t xml:space="preserve"> </w:t>
      </w:r>
      <w:r w:rsidRPr="00376324">
        <w:rPr>
          <w:sz w:val="28"/>
        </w:rPr>
        <w:t>№</w:t>
      </w:r>
      <w:r w:rsidR="00376324" w:rsidRPr="00376324">
        <w:rPr>
          <w:sz w:val="28"/>
        </w:rPr>
        <w:t>194</w:t>
      </w:r>
      <w:r w:rsidRPr="00376324">
        <w:rPr>
          <w:sz w:val="28"/>
        </w:rPr>
        <w:t xml:space="preserve"> «Про </w:t>
      </w:r>
      <w:r w:rsidR="00376324" w:rsidRPr="00376324">
        <w:rPr>
          <w:sz w:val="28"/>
        </w:rPr>
        <w:t xml:space="preserve">порядок </w:t>
      </w:r>
      <w:r w:rsidRPr="00376324">
        <w:rPr>
          <w:sz w:val="28"/>
        </w:rPr>
        <w:t xml:space="preserve">вивчення стану викладання навчальних </w:t>
      </w:r>
      <w:r w:rsidR="00376324" w:rsidRPr="00376324">
        <w:rPr>
          <w:sz w:val="28"/>
        </w:rPr>
        <w:t>дисциплін</w:t>
      </w:r>
      <w:r w:rsidRPr="00376324">
        <w:rPr>
          <w:sz w:val="28"/>
        </w:rPr>
        <w:t xml:space="preserve"> у 2014-2</w:t>
      </w:r>
      <w:r w:rsidR="0092764D" w:rsidRPr="00376324">
        <w:rPr>
          <w:sz w:val="28"/>
        </w:rPr>
        <w:t>0</w:t>
      </w:r>
      <w:r w:rsidRPr="00376324">
        <w:rPr>
          <w:sz w:val="28"/>
        </w:rPr>
        <w:t xml:space="preserve">15 </w:t>
      </w:r>
      <w:proofErr w:type="spellStart"/>
      <w:r w:rsidRPr="00376324">
        <w:rPr>
          <w:sz w:val="28"/>
        </w:rPr>
        <w:t>н.р</w:t>
      </w:r>
      <w:proofErr w:type="spellEnd"/>
      <w:r w:rsidRPr="00376324">
        <w:rPr>
          <w:sz w:val="28"/>
        </w:rPr>
        <w:t>.» із 06.10.14 по</w:t>
      </w:r>
      <w:r w:rsidR="0092764D" w:rsidRPr="00376324">
        <w:rPr>
          <w:sz w:val="28"/>
        </w:rPr>
        <w:t xml:space="preserve"> </w:t>
      </w:r>
      <w:r w:rsidRPr="00376324">
        <w:rPr>
          <w:sz w:val="28"/>
        </w:rPr>
        <w:t>14.11.14 року експе</w:t>
      </w:r>
      <w:r>
        <w:rPr>
          <w:sz w:val="28"/>
        </w:rPr>
        <w:t xml:space="preserve">ртною групою в складі: голови експертної групи  Т.М. Шевчук, заступника голови експертної групи С.М. Сліпак, членів експертної групи Т.М. Котляр, М.І. Петренка, Н.О. Полянської вивчався стан викладання, рівень навчальних досягнень учнів </w:t>
      </w:r>
      <w:r w:rsidR="0092764D">
        <w:rPr>
          <w:sz w:val="28"/>
        </w:rPr>
        <w:t xml:space="preserve">з </w:t>
      </w:r>
      <w:r>
        <w:rPr>
          <w:sz w:val="28"/>
        </w:rPr>
        <w:t>економіки.</w:t>
      </w:r>
    </w:p>
    <w:p w:rsidR="00A112D2" w:rsidRDefault="00F65B9E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 xml:space="preserve">Контроль передбачав вивчення  </w:t>
      </w:r>
      <w:r w:rsidR="0092764D">
        <w:rPr>
          <w:sz w:val="28"/>
        </w:rPr>
        <w:t xml:space="preserve">рівня навчальних досягнень учнів та </w:t>
      </w:r>
      <w:r>
        <w:rPr>
          <w:sz w:val="28"/>
        </w:rPr>
        <w:t>роботи вчителя з даного предмету за такими напрямками:</w:t>
      </w:r>
    </w:p>
    <w:p w:rsidR="00A112D2" w:rsidRDefault="00F65B9E">
      <w:pPr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>навчально-методичне і технічне забезпечення</w:t>
      </w:r>
      <w:r w:rsidR="0092764D">
        <w:rPr>
          <w:sz w:val="28"/>
        </w:rPr>
        <w:t xml:space="preserve"> предмета</w:t>
      </w:r>
      <w:r>
        <w:rPr>
          <w:sz w:val="28"/>
        </w:rPr>
        <w:t>;</w:t>
      </w:r>
    </w:p>
    <w:p w:rsidR="00A112D2" w:rsidRDefault="00F65B9E">
      <w:pPr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>підготовка вчителя до уроку (наявність та якість поурочних і календарно-тематичних планів, методика та науково-теоретичний рівень викладання предмету);</w:t>
      </w:r>
    </w:p>
    <w:p w:rsidR="00A112D2" w:rsidRDefault="00F65B9E">
      <w:pPr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>навчально-виховна діяльність вчителя (відповідність змісту уроків вимогам навчальних програм, використання форм і методів обліку навчальних досягнень учнів, упровадження активних форм і методів навчання, використання наочності, ТЗН та сучасних технологій у навчальному процесі, ефективність використання міжпредметних зв’язків);</w:t>
      </w:r>
    </w:p>
    <w:p w:rsidR="00A112D2" w:rsidRDefault="00F65B9E">
      <w:pPr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>результативність навчально-виховної роботи (стан успішності та якість знань учнів).</w:t>
      </w:r>
    </w:p>
    <w:p w:rsidR="00CA0DFC" w:rsidRDefault="00CA0DFC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Із метою реалізації плану перевірки експертною групою було проведено співбесід</w:t>
      </w:r>
      <w:r w:rsidR="004E481D">
        <w:rPr>
          <w:sz w:val="28"/>
        </w:rPr>
        <w:t>и</w:t>
      </w:r>
      <w:r>
        <w:rPr>
          <w:sz w:val="28"/>
        </w:rPr>
        <w:t xml:space="preserve"> з учителем, </w:t>
      </w:r>
      <w:proofErr w:type="spellStart"/>
      <w:r>
        <w:rPr>
          <w:sz w:val="28"/>
        </w:rPr>
        <w:t>відвідано</w:t>
      </w:r>
      <w:proofErr w:type="spellEnd"/>
      <w:r>
        <w:rPr>
          <w:sz w:val="28"/>
        </w:rPr>
        <w:t xml:space="preserve"> уроки, вивчено документацію, здійснено огляд </w:t>
      </w:r>
      <w:proofErr w:type="spellStart"/>
      <w:r>
        <w:rPr>
          <w:sz w:val="28"/>
        </w:rPr>
        <w:t>роздаткового</w:t>
      </w:r>
      <w:proofErr w:type="spellEnd"/>
      <w:r>
        <w:rPr>
          <w:sz w:val="28"/>
        </w:rPr>
        <w:t xml:space="preserve"> матеріалу та наочності, здійснено перевірку поурочного планування, проведено контрольний зріз знань у класах.</w:t>
      </w:r>
    </w:p>
    <w:p w:rsidR="003343CA" w:rsidRDefault="00CA0DFC" w:rsidP="003343C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Календарно-тематичне планування здійснено у відповідності до чинної програми</w:t>
      </w:r>
      <w:r w:rsidR="003343CA">
        <w:rPr>
          <w:sz w:val="28"/>
        </w:rPr>
        <w:t xml:space="preserve"> (Економіка, 11 кл. Рівень стандарту, академічний рівень К., 2010.)</w:t>
      </w:r>
      <w:r>
        <w:rPr>
          <w:sz w:val="28"/>
        </w:rPr>
        <w:t xml:space="preserve"> та у відповідності </w:t>
      </w:r>
      <w:r w:rsidR="0049217A">
        <w:rPr>
          <w:sz w:val="28"/>
        </w:rPr>
        <w:t xml:space="preserve">до </w:t>
      </w:r>
      <w:r>
        <w:rPr>
          <w:sz w:val="28"/>
        </w:rPr>
        <w:t>кількості годин навчального плану на ІІ курсах ліцею, по 1 годині на тиждень у класах української й іноземної філології та 0,5 годин у фізико-математичному класі через перерозподіл 0,5 годин на вивчення інформатики на академічному рівні.</w:t>
      </w:r>
      <w:r w:rsidR="003343CA" w:rsidRPr="003343CA">
        <w:rPr>
          <w:sz w:val="28"/>
        </w:rPr>
        <w:t xml:space="preserve"> </w:t>
      </w:r>
    </w:p>
    <w:p w:rsidR="00CA0DFC" w:rsidRDefault="00CA0DFC" w:rsidP="003343CA">
      <w:pPr>
        <w:spacing w:line="276" w:lineRule="auto"/>
        <w:ind w:firstLine="708"/>
        <w:jc w:val="both"/>
        <w:rPr>
          <w:sz w:val="28"/>
        </w:rPr>
      </w:pPr>
      <w:r w:rsidRPr="00CA0DFC">
        <w:rPr>
          <w:sz w:val="28"/>
        </w:rPr>
        <w:t xml:space="preserve"> </w:t>
      </w:r>
      <w:r>
        <w:rPr>
          <w:sz w:val="28"/>
        </w:rPr>
        <w:t>Ліцей на 100% забезпечений підручниками з економіки (</w:t>
      </w:r>
      <w:proofErr w:type="spellStart"/>
      <w:r>
        <w:rPr>
          <w:sz w:val="28"/>
        </w:rPr>
        <w:t>Крупська</w:t>
      </w:r>
      <w:proofErr w:type="spellEnd"/>
      <w:r>
        <w:rPr>
          <w:sz w:val="28"/>
        </w:rPr>
        <w:t xml:space="preserve"> Л.П. Економіка. 11 клас. Рівень стандарту. Академічний рівень: Підручник для загальноосвітніх навчальних закладів / Л.П. </w:t>
      </w:r>
      <w:proofErr w:type="spellStart"/>
      <w:r>
        <w:rPr>
          <w:sz w:val="28"/>
        </w:rPr>
        <w:t>Крупська</w:t>
      </w:r>
      <w:proofErr w:type="spellEnd"/>
      <w:r>
        <w:rPr>
          <w:sz w:val="28"/>
        </w:rPr>
        <w:t xml:space="preserve">, І.Є. Тимченко, Т.І. Чорна. – Х.: Вид-во «Ранок», 2011. – 192 с.). </w:t>
      </w:r>
    </w:p>
    <w:p w:rsidR="003343CA" w:rsidRDefault="003343CA" w:rsidP="003343C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Під час проведення уроків учитель користується комп’ютером та проектором так як кожна аудиторія, в якій проходять заняття, обладнана сучасними засобами навчання. Матеріально-технічне забезпечення економіки знаходиться на достатньому рівні, інформаційні технології навчання застосовуються  систематично.</w:t>
      </w:r>
    </w:p>
    <w:p w:rsidR="00A112D2" w:rsidRDefault="00F65B9E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Викладання економіки в усіх класах</w:t>
      </w:r>
      <w:r w:rsidR="00CA0DFC">
        <w:rPr>
          <w:sz w:val="28"/>
        </w:rPr>
        <w:t xml:space="preserve"> ліцею</w:t>
      </w:r>
      <w:r>
        <w:rPr>
          <w:sz w:val="28"/>
        </w:rPr>
        <w:t xml:space="preserve"> забезпечує Т.М.</w:t>
      </w:r>
      <w:proofErr w:type="spellStart"/>
      <w:r>
        <w:rPr>
          <w:sz w:val="28"/>
        </w:rPr>
        <w:t>Шмаглій</w:t>
      </w:r>
      <w:proofErr w:type="spellEnd"/>
      <w:r>
        <w:rPr>
          <w:sz w:val="28"/>
        </w:rPr>
        <w:t xml:space="preserve">, яка закінчила Ніжинський державний університет 2007 року за спеціальністю «Педагогіка і методика середньої освіти. Математика», має 6 років педагогічного стажу, кваліфікаційна категорія «спеціаліст».  </w:t>
      </w:r>
    </w:p>
    <w:p w:rsidR="00A112D2" w:rsidRDefault="00F65B9E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Аналіз та узагальнення  інформації дозволяє констатувати той факт, що вивчення економіки в ліцеї  забезпечує розвиток економічної культури, економічного та  критичного мислення учнів. Т.М.</w:t>
      </w:r>
      <w:proofErr w:type="spellStart"/>
      <w:r>
        <w:rPr>
          <w:sz w:val="28"/>
        </w:rPr>
        <w:t>Шмаглій</w:t>
      </w:r>
      <w:proofErr w:type="spellEnd"/>
      <w:r>
        <w:rPr>
          <w:sz w:val="28"/>
        </w:rPr>
        <w:t xml:space="preserve"> учить  самостійно набувати, засвоювати і застосовувати економічні знання, спостерігати і пояснювати сучасні економічні явища.</w:t>
      </w:r>
    </w:p>
    <w:p w:rsidR="00A112D2" w:rsidRDefault="00F65B9E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Експертною групою встановлено, що науковий та методичний рівень викладання економіки відповідає сучасним вимогам щодо забезпечення навчально-виховного процесу, метою якого є створення умов для інтелектуального, морального і фізичного розвитку та саморозвитку учнів. Досягнення зазначеної мети забезпечується виконанням низки завдань, таких як: ознайомлення учнів з основами економічної теорії і прикладних економічних дисциплін, формування вмінь і навичок приймати обґрунтовані рішення, формування у ліцеїстів економічного мислення, здійснення професійної орієнтації в галузі економічної, правової, підприємницької діяльності та розвиток підприємницьких здібностей учнів, проведення соціальної адаптації  до змін, що відбуваються в сучасному суспільстві</w:t>
      </w:r>
      <w:r w:rsidR="00CA0DFC">
        <w:rPr>
          <w:sz w:val="28"/>
        </w:rPr>
        <w:t>.</w:t>
      </w:r>
      <w:r>
        <w:rPr>
          <w:sz w:val="28"/>
        </w:rPr>
        <w:t xml:space="preserve"> </w:t>
      </w:r>
    </w:p>
    <w:p w:rsidR="00CA0DFC" w:rsidRDefault="00F65B9E" w:rsidP="00CA0DFC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 xml:space="preserve">Аналіз відвіданих уроків показав, що Тетяна Михайлівна добре володіє ефективними прийомами і методами реалізації навчально-виховного процесу. Використовує проблемні, пошуково-дослідницькі, аналітичні методи навчання. Для більш ефективного засвоєння учнями знань використовує структурно-логічні схеми, називає різні джерела інформації, вчить аналізувати взаємозв’язки між економічними поняттями, застосовує різноманітні види контролю знань: економічні диктанти, </w:t>
      </w:r>
      <w:proofErr w:type="spellStart"/>
      <w:r>
        <w:rPr>
          <w:sz w:val="28"/>
        </w:rPr>
        <w:t>бліц-опитування</w:t>
      </w:r>
      <w:proofErr w:type="spellEnd"/>
      <w:r>
        <w:rPr>
          <w:sz w:val="28"/>
        </w:rPr>
        <w:t>, практичні роботи, тести, контрольні та самостійні роботи.</w:t>
      </w:r>
      <w:r w:rsidR="00CA0DFC" w:rsidRPr="00CA0DFC">
        <w:rPr>
          <w:sz w:val="28"/>
        </w:rPr>
        <w:t xml:space="preserve"> </w:t>
      </w:r>
      <w:r w:rsidR="00CA0DFC">
        <w:rPr>
          <w:sz w:val="28"/>
        </w:rPr>
        <w:t>Учні мають по одному робочому зошиту</w:t>
      </w:r>
      <w:r w:rsidR="00EB3E90">
        <w:rPr>
          <w:sz w:val="28"/>
        </w:rPr>
        <w:t>,</w:t>
      </w:r>
      <w:r w:rsidR="00CA0DFC">
        <w:rPr>
          <w:sz w:val="28"/>
        </w:rPr>
        <w:t xml:space="preserve"> де виконують і практичні роботи</w:t>
      </w:r>
      <w:r w:rsidR="00EB3E90">
        <w:rPr>
          <w:sz w:val="28"/>
        </w:rPr>
        <w:t>,</w:t>
      </w:r>
      <w:r w:rsidR="00CA0DFC">
        <w:rPr>
          <w:sz w:val="28"/>
        </w:rPr>
        <w:t xml:space="preserve"> передбачені навчальною програмою.</w:t>
      </w:r>
    </w:p>
    <w:p w:rsidR="00A112D2" w:rsidRDefault="00F65B9E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 xml:space="preserve">Уроки проходять на достатньому науково-пізнавальному рівні з використанням різних видів роботи. На початку уроку чітко визначається його місце в системі знань учнів, дається лаконічна установка </w:t>
      </w:r>
      <w:r w:rsidR="00CB26BD">
        <w:rPr>
          <w:sz w:val="28"/>
        </w:rPr>
        <w:t xml:space="preserve">дій </w:t>
      </w:r>
      <w:r>
        <w:rPr>
          <w:sz w:val="28"/>
        </w:rPr>
        <w:t xml:space="preserve">на весь урок і на найближчий етап. На уроках учитель використовує </w:t>
      </w:r>
      <w:r w:rsidR="00CB26BD">
        <w:rPr>
          <w:sz w:val="28"/>
        </w:rPr>
        <w:t>різні форми роботи</w:t>
      </w:r>
      <w:r w:rsidR="00CB26BD" w:rsidRPr="00CB26BD">
        <w:rPr>
          <w:sz w:val="28"/>
        </w:rPr>
        <w:t xml:space="preserve"> </w:t>
      </w:r>
      <w:r w:rsidR="00CB26BD">
        <w:rPr>
          <w:sz w:val="28"/>
        </w:rPr>
        <w:t>та види діяльності:</w:t>
      </w:r>
      <w:r w:rsidR="0049217A">
        <w:rPr>
          <w:sz w:val="28"/>
        </w:rPr>
        <w:t xml:space="preserve"> проектну технологію, </w:t>
      </w:r>
      <w:proofErr w:type="spellStart"/>
      <w:r w:rsidR="0049217A">
        <w:rPr>
          <w:sz w:val="28"/>
        </w:rPr>
        <w:t>ІКт</w:t>
      </w:r>
      <w:r w:rsidR="00CB26BD">
        <w:rPr>
          <w:sz w:val="28"/>
        </w:rPr>
        <w:t>ехнології</w:t>
      </w:r>
      <w:proofErr w:type="spellEnd"/>
      <w:r w:rsidR="00CB26BD">
        <w:rPr>
          <w:sz w:val="28"/>
        </w:rPr>
        <w:t>,</w:t>
      </w:r>
      <w:r>
        <w:rPr>
          <w:sz w:val="28"/>
        </w:rPr>
        <w:t xml:space="preserve"> робота в </w:t>
      </w:r>
      <w:r>
        <w:rPr>
          <w:sz w:val="28"/>
        </w:rPr>
        <w:lastRenderedPageBreak/>
        <w:t>малих групах, у командах, індивідуальна робота</w:t>
      </w:r>
      <w:r w:rsidR="00CB26BD">
        <w:rPr>
          <w:sz w:val="28"/>
        </w:rPr>
        <w:t xml:space="preserve"> та інтерактивні методики:</w:t>
      </w:r>
      <w:r>
        <w:rPr>
          <w:sz w:val="28"/>
        </w:rPr>
        <w:t xml:space="preserve">  «</w:t>
      </w:r>
      <w:r w:rsidR="00CB26BD">
        <w:rPr>
          <w:sz w:val="28"/>
        </w:rPr>
        <w:t>М</w:t>
      </w:r>
      <w:r>
        <w:rPr>
          <w:sz w:val="28"/>
        </w:rPr>
        <w:t>озковий штурм», «Займи позицію», «Вислови власну думку» тощо. Використовує методи: проблемного питання, бесіда, лекція, диспут, дослід.</w:t>
      </w:r>
    </w:p>
    <w:p w:rsidR="00A112D2" w:rsidRDefault="00F65B9E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Для створення проблемної ситуації та надання кожному учневі можливості висловити власну точку зору під час уроку або як домашнє завдання пропонується</w:t>
      </w:r>
      <w:r w:rsidR="00EB3E90">
        <w:rPr>
          <w:sz w:val="28"/>
        </w:rPr>
        <w:t>,</w:t>
      </w:r>
      <w:r>
        <w:rPr>
          <w:sz w:val="28"/>
        </w:rPr>
        <w:t xml:space="preserve"> </w:t>
      </w:r>
      <w:r w:rsidR="00CB26BD">
        <w:rPr>
          <w:sz w:val="28"/>
        </w:rPr>
        <w:t>наприклад</w:t>
      </w:r>
      <w:r w:rsidR="00EB3E90">
        <w:rPr>
          <w:sz w:val="28"/>
        </w:rPr>
        <w:t>,</w:t>
      </w:r>
      <w:r w:rsidR="00CB26BD">
        <w:rPr>
          <w:sz w:val="28"/>
        </w:rPr>
        <w:t xml:space="preserve"> </w:t>
      </w:r>
      <w:r>
        <w:rPr>
          <w:sz w:val="28"/>
        </w:rPr>
        <w:t>написа</w:t>
      </w:r>
      <w:r w:rsidR="00CB26BD">
        <w:rPr>
          <w:sz w:val="28"/>
        </w:rPr>
        <w:t>ти</w:t>
      </w:r>
      <w:r>
        <w:rPr>
          <w:sz w:val="28"/>
        </w:rPr>
        <w:t xml:space="preserve"> есе «Як можна учневі заробити гроші влітку?» або «Я – Робінзон  на безлюдному острові», побудувати власну піраміду бажань, пройти тест «Я виграв 1 млн. доларів» (записати по п’ять «плюсів»  та «мінусів» цієї події), або тест на визначення підприємницьких здібностей.</w:t>
      </w:r>
    </w:p>
    <w:p w:rsidR="0045657E" w:rsidRDefault="0045657E" w:rsidP="0045657E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Викладання матеріалу здійснюється у зоні комфортного мислення на зрозумілих для учнів прикладах із їхнього досвіду, оточуючого середовища та з урахуванням міжпредметних зв’язків із історією, правознавством, географією, українською мовою.</w:t>
      </w:r>
    </w:p>
    <w:p w:rsidR="00A112D2" w:rsidRDefault="00F65B9E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 xml:space="preserve">Разом </w:t>
      </w:r>
      <w:r w:rsidR="00EB3E90">
        <w:rPr>
          <w:sz w:val="28"/>
        </w:rPr>
        <w:t>і</w:t>
      </w:r>
      <w:r>
        <w:rPr>
          <w:sz w:val="28"/>
        </w:rPr>
        <w:t xml:space="preserve">з тим, слід відмітити, що недостатньо уваги приділяється практичному </w:t>
      </w:r>
      <w:r w:rsidR="0045657E">
        <w:rPr>
          <w:sz w:val="28"/>
        </w:rPr>
        <w:t xml:space="preserve">аспекту засвоєння навчального </w:t>
      </w:r>
      <w:r>
        <w:rPr>
          <w:sz w:val="28"/>
        </w:rPr>
        <w:t>матеріалу, розв’язуванню задач, аналізу таблиць і схем, побудові графіків, що пояснюють зміст та динаміку певних економічних процесів.</w:t>
      </w:r>
      <w:r w:rsidR="0045657E">
        <w:rPr>
          <w:sz w:val="28"/>
        </w:rPr>
        <w:t xml:space="preserve"> П</w:t>
      </w:r>
      <w:r>
        <w:rPr>
          <w:sz w:val="28"/>
        </w:rPr>
        <w:t xml:space="preserve">отребують </w:t>
      </w:r>
      <w:r w:rsidR="0045657E">
        <w:rPr>
          <w:sz w:val="28"/>
        </w:rPr>
        <w:t xml:space="preserve">доопрацювання </w:t>
      </w:r>
      <w:r>
        <w:rPr>
          <w:sz w:val="28"/>
        </w:rPr>
        <w:t xml:space="preserve">методи і форми перевірки письмових </w:t>
      </w:r>
      <w:r w:rsidR="0045657E">
        <w:rPr>
          <w:sz w:val="28"/>
        </w:rPr>
        <w:t xml:space="preserve">творчих </w:t>
      </w:r>
      <w:r>
        <w:rPr>
          <w:sz w:val="28"/>
        </w:rPr>
        <w:t>домашніх завдань.</w:t>
      </w:r>
    </w:p>
    <w:p w:rsidR="0045657E" w:rsidRDefault="0045657E" w:rsidP="004E481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Контрольними зрізами знань було охоплено 81 </w:t>
      </w:r>
      <w:r>
        <w:rPr>
          <w:sz w:val="28"/>
          <w:shd w:val="clear" w:color="auto" w:fill="FFFFFF"/>
        </w:rPr>
        <w:t xml:space="preserve"> учень (91% </w:t>
      </w:r>
      <w:r>
        <w:rPr>
          <w:sz w:val="28"/>
        </w:rPr>
        <w:t>від кількості учні</w:t>
      </w:r>
      <w:r w:rsidR="004E481D">
        <w:rPr>
          <w:sz w:val="28"/>
        </w:rPr>
        <w:t>в, які підлягали перевірці).</w:t>
      </w:r>
      <w:r w:rsidR="004E481D" w:rsidRPr="004E481D">
        <w:rPr>
          <w:sz w:val="28"/>
        </w:rPr>
        <w:t xml:space="preserve"> </w:t>
      </w:r>
      <w:r w:rsidR="004E481D">
        <w:rPr>
          <w:sz w:val="28"/>
        </w:rPr>
        <w:t>Результати зрізів знань навчальних досягнень учнів показали, що на високому рівні досягнень навчається 29% учнів, на достатньому – 54%, на середньому – 17%, на низькому - жодного учня.</w:t>
      </w:r>
    </w:p>
    <w:tbl>
      <w:tblPr>
        <w:tblW w:w="0" w:type="auto"/>
        <w:tblInd w:w="-11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560"/>
        <w:gridCol w:w="1275"/>
        <w:gridCol w:w="851"/>
        <w:gridCol w:w="567"/>
        <w:gridCol w:w="709"/>
        <w:gridCol w:w="567"/>
        <w:gridCol w:w="708"/>
        <w:gridCol w:w="567"/>
        <w:gridCol w:w="467"/>
        <w:gridCol w:w="426"/>
        <w:gridCol w:w="567"/>
        <w:gridCol w:w="466"/>
        <w:gridCol w:w="526"/>
        <w:gridCol w:w="567"/>
      </w:tblGrid>
      <w:tr w:rsidR="0045657E" w:rsidTr="00E846D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</w:rPr>
            </w:pPr>
            <w:r>
              <w:rPr>
                <w:b/>
              </w:rPr>
              <w:t>Клас, курс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 учнів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Початковий рівень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Середній рівень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Достатній рівень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%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Високий рівень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% якості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-149" w:right="-108" w:firstLine="7"/>
              <w:jc w:val="center"/>
              <w:rPr>
                <w:sz w:val="18"/>
              </w:rPr>
            </w:pPr>
            <w:r>
              <w:rPr>
                <w:sz w:val="18"/>
              </w:rPr>
              <w:t>% успішності</w:t>
            </w:r>
          </w:p>
        </w:tc>
      </w:tr>
      <w:tr w:rsidR="0045657E" w:rsidTr="00E846D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-108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  <w:i/>
              </w:rPr>
            </w:pPr>
          </w:p>
        </w:tc>
        <w:tc>
          <w:tcPr>
            <w:tcW w:w="46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учнів</w:t>
            </w:r>
          </w:p>
        </w:tc>
        <w:tc>
          <w:tcPr>
            <w:tcW w:w="46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5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45657E" w:rsidTr="00E846D2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ІІ фіз.-мат.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(27)29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-15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5657E" w:rsidTr="00E846D2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 xml:space="preserve">ІІ укр.. </w:t>
            </w:r>
            <w:proofErr w:type="spellStart"/>
            <w:r>
              <w:rPr>
                <w:sz w:val="18"/>
              </w:rPr>
              <w:t>філ</w:t>
            </w:r>
            <w:proofErr w:type="spellEnd"/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(26)29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4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4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-15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5657E" w:rsidTr="00E846D2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ІІ ін.. філ..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(28)31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-151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5657E" w:rsidTr="00E846D2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jc w:val="center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b/>
                <w:i/>
              </w:rPr>
            </w:pPr>
            <w:r>
              <w:rPr>
                <w:b/>
                <w:i/>
              </w:rPr>
              <w:t>(81) 89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b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-8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6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-8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-9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-9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-10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657E" w:rsidRDefault="0045657E" w:rsidP="00E846D2">
            <w:pPr>
              <w:ind w:left="3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5657E" w:rsidRDefault="0045657E" w:rsidP="0045657E">
      <w:pPr>
        <w:ind w:firstLine="851"/>
        <w:jc w:val="both"/>
        <w:rPr>
          <w:sz w:val="28"/>
        </w:rPr>
      </w:pPr>
      <w:r>
        <w:rPr>
          <w:sz w:val="28"/>
        </w:rPr>
        <w:t xml:space="preserve">Основну частину недоліків у роботах учні допустили у виконанні творчих завдань, які передбачали не лише відтворення теоретичного матеріалу, а й застосування його в нестандартній ситуації, тобто вони мали дати відповіді на питання типу: «чому, на Вашу думку, …», «поясніть причини…», «назвіть позитивні та негативні наслідки…». Такі результати вказують на необхідність під час повторення не лише відтворювати навчальний матеріал, а й </w:t>
      </w:r>
      <w:r w:rsidR="00EB3E90">
        <w:rPr>
          <w:sz w:val="28"/>
        </w:rPr>
        <w:t>сприяти умінню</w:t>
      </w:r>
      <w:r>
        <w:rPr>
          <w:sz w:val="28"/>
        </w:rPr>
        <w:t xml:space="preserve"> використовувати й</w:t>
      </w:r>
      <w:r w:rsidR="00EB3E90">
        <w:rPr>
          <w:sz w:val="28"/>
        </w:rPr>
        <w:t>ого в нестандартних ситуаціях, у</w:t>
      </w:r>
      <w:r>
        <w:rPr>
          <w:sz w:val="28"/>
        </w:rPr>
        <w:t xml:space="preserve">читель має приділити увагу розвитку критичного мислення учнів, вчити аналізувати, порівнювати, робити </w:t>
      </w:r>
      <w:r w:rsidR="00EB3E90">
        <w:rPr>
          <w:sz w:val="28"/>
        </w:rPr>
        <w:t>висновки</w:t>
      </w:r>
      <w:r>
        <w:rPr>
          <w:sz w:val="28"/>
        </w:rPr>
        <w:t>, прогнозувати,</w:t>
      </w:r>
      <w:r w:rsidR="00EB3E90">
        <w:rPr>
          <w:sz w:val="28"/>
        </w:rPr>
        <w:t xml:space="preserve"> щоб учні могли</w:t>
      </w:r>
      <w:r>
        <w:rPr>
          <w:sz w:val="28"/>
        </w:rPr>
        <w:t xml:space="preserve"> використовувати набуті знання </w:t>
      </w:r>
      <w:r w:rsidR="00EB3E90">
        <w:rPr>
          <w:sz w:val="28"/>
        </w:rPr>
        <w:t xml:space="preserve">не лише </w:t>
      </w:r>
      <w:r>
        <w:rPr>
          <w:sz w:val="28"/>
        </w:rPr>
        <w:t xml:space="preserve">під час розв’язування задач на уроці, а й </w:t>
      </w:r>
      <w:r w:rsidR="00EB3E90">
        <w:rPr>
          <w:sz w:val="28"/>
        </w:rPr>
        <w:t>скориста</w:t>
      </w:r>
      <w:r w:rsidR="004E481D">
        <w:rPr>
          <w:sz w:val="28"/>
        </w:rPr>
        <w:t>тися</w:t>
      </w:r>
      <w:r w:rsidR="00EB3E90">
        <w:rPr>
          <w:sz w:val="28"/>
        </w:rPr>
        <w:t xml:space="preserve"> ними у повсякденному житті</w:t>
      </w:r>
      <w:r>
        <w:rPr>
          <w:sz w:val="28"/>
        </w:rPr>
        <w:t>.</w:t>
      </w:r>
    </w:p>
    <w:p w:rsidR="00BF03D3" w:rsidRDefault="00721F1E" w:rsidP="00721F1E">
      <w:pPr>
        <w:spacing w:line="276" w:lineRule="auto"/>
        <w:ind w:firstLine="1134"/>
        <w:jc w:val="both"/>
        <w:rPr>
          <w:sz w:val="28"/>
        </w:rPr>
      </w:pPr>
      <w:r>
        <w:rPr>
          <w:sz w:val="28"/>
        </w:rPr>
        <w:lastRenderedPageBreak/>
        <w:t>У закладі ведеться</w:t>
      </w:r>
      <w:r w:rsidR="00F65B9E">
        <w:rPr>
          <w:sz w:val="28"/>
        </w:rPr>
        <w:t xml:space="preserve"> </w:t>
      </w:r>
      <w:r w:rsidR="00F005CC">
        <w:rPr>
          <w:sz w:val="28"/>
        </w:rPr>
        <w:t xml:space="preserve">також </w:t>
      </w:r>
      <w:r w:rsidR="00F65B9E">
        <w:rPr>
          <w:sz w:val="28"/>
        </w:rPr>
        <w:t>позакласн</w:t>
      </w:r>
      <w:r>
        <w:rPr>
          <w:sz w:val="28"/>
        </w:rPr>
        <w:t>а</w:t>
      </w:r>
      <w:r w:rsidR="00F65B9E">
        <w:rPr>
          <w:sz w:val="28"/>
        </w:rPr>
        <w:t xml:space="preserve"> робот</w:t>
      </w:r>
      <w:r>
        <w:rPr>
          <w:sz w:val="28"/>
        </w:rPr>
        <w:t>а</w:t>
      </w:r>
      <w:r w:rsidR="00F65B9E">
        <w:rPr>
          <w:sz w:val="28"/>
        </w:rPr>
        <w:t xml:space="preserve"> з економіки</w:t>
      </w:r>
      <w:r w:rsidR="00F005CC">
        <w:rPr>
          <w:sz w:val="28"/>
        </w:rPr>
        <w:t xml:space="preserve">. </w:t>
      </w:r>
      <w:r w:rsidR="00BF03D3">
        <w:rPr>
          <w:sz w:val="28"/>
        </w:rPr>
        <w:t>Л</w:t>
      </w:r>
      <w:r w:rsidR="00F005CC">
        <w:rPr>
          <w:sz w:val="28"/>
        </w:rPr>
        <w:t xml:space="preserve">іцеїсти брали участь у </w:t>
      </w:r>
      <w:r>
        <w:rPr>
          <w:sz w:val="28"/>
        </w:rPr>
        <w:t>І</w:t>
      </w:r>
      <w:r w:rsidR="00F005CC">
        <w:rPr>
          <w:sz w:val="28"/>
        </w:rPr>
        <w:t xml:space="preserve"> - ІІІ</w:t>
      </w:r>
      <w:r>
        <w:rPr>
          <w:sz w:val="28"/>
        </w:rPr>
        <w:t xml:space="preserve"> етап</w:t>
      </w:r>
      <w:r w:rsidR="00F005CC">
        <w:rPr>
          <w:sz w:val="28"/>
        </w:rPr>
        <w:t>ах Всеукраїнської</w:t>
      </w:r>
      <w:r>
        <w:rPr>
          <w:sz w:val="28"/>
        </w:rPr>
        <w:t xml:space="preserve"> </w:t>
      </w:r>
      <w:r w:rsidR="00BF03D3">
        <w:rPr>
          <w:sz w:val="28"/>
        </w:rPr>
        <w:t>предметної олімпіади з економіки</w:t>
      </w:r>
      <w:r w:rsidR="004E481D">
        <w:rPr>
          <w:sz w:val="28"/>
        </w:rPr>
        <w:t>.</w:t>
      </w:r>
      <w:r w:rsidR="00F005CC">
        <w:rPr>
          <w:sz w:val="28"/>
        </w:rPr>
        <w:t xml:space="preserve"> П</w:t>
      </w:r>
      <w:r>
        <w:rPr>
          <w:sz w:val="28"/>
        </w:rPr>
        <w:t>ротягом трьох останніх років учні ліцею під керівництвом заступника директора з ВР Т.М.Котляр беруть участь у конкурсі</w:t>
      </w:r>
      <w:r w:rsidR="004E481D">
        <w:rPr>
          <w:sz w:val="28"/>
        </w:rPr>
        <w:t>,</w:t>
      </w:r>
      <w:r>
        <w:rPr>
          <w:sz w:val="28"/>
        </w:rPr>
        <w:t xml:space="preserve">  організованому Чернігівською податковою інспекцію «Податки у нашому житті».</w:t>
      </w:r>
      <w:r w:rsidR="004E481D">
        <w:rPr>
          <w:sz w:val="28"/>
        </w:rPr>
        <w:t xml:space="preserve"> Зауважимо, що жодної роботи з економіки не було підготовлено на конкурс науково-дослідницьких робіт МАНУ.</w:t>
      </w:r>
    </w:p>
    <w:p w:rsidR="00721F1E" w:rsidRDefault="002F030C" w:rsidP="00721F1E">
      <w:pPr>
        <w:spacing w:line="276" w:lineRule="auto"/>
        <w:ind w:firstLine="1134"/>
        <w:jc w:val="both"/>
        <w:rPr>
          <w:sz w:val="28"/>
        </w:rPr>
      </w:pPr>
      <w:r>
        <w:rPr>
          <w:sz w:val="28"/>
        </w:rPr>
        <w:t xml:space="preserve">У 2013-2014 </w:t>
      </w:r>
      <w:proofErr w:type="spellStart"/>
      <w:r>
        <w:rPr>
          <w:sz w:val="28"/>
        </w:rPr>
        <w:t>н.р</w:t>
      </w:r>
      <w:proofErr w:type="spellEnd"/>
      <w:r>
        <w:rPr>
          <w:sz w:val="28"/>
        </w:rPr>
        <w:t xml:space="preserve">. учителем економіки було організовано </w:t>
      </w:r>
      <w:bookmarkStart w:id="0" w:name="_GoBack"/>
      <w:bookmarkEnd w:id="0"/>
      <w:r>
        <w:rPr>
          <w:sz w:val="28"/>
        </w:rPr>
        <w:t>екскурсію учнів до м. Києва в музей</w:t>
      </w:r>
      <w:r w:rsidR="00F65B9E">
        <w:rPr>
          <w:sz w:val="28"/>
        </w:rPr>
        <w:t xml:space="preserve"> грошей</w:t>
      </w:r>
      <w:r>
        <w:rPr>
          <w:sz w:val="28"/>
        </w:rPr>
        <w:t xml:space="preserve"> Національного банку </w:t>
      </w:r>
      <w:r w:rsidR="00F65B9E">
        <w:rPr>
          <w:sz w:val="28"/>
        </w:rPr>
        <w:t xml:space="preserve">України. </w:t>
      </w:r>
      <w:r w:rsidR="00721F1E">
        <w:rPr>
          <w:sz w:val="28"/>
        </w:rPr>
        <w:t>Тиждень економіки у навчальному закладі не проводи</w:t>
      </w:r>
      <w:r w:rsidR="00693FF7">
        <w:rPr>
          <w:sz w:val="28"/>
        </w:rPr>
        <w:t>ть</w:t>
      </w:r>
      <w:r w:rsidR="00721F1E">
        <w:rPr>
          <w:sz w:val="28"/>
        </w:rPr>
        <w:t>ся</w:t>
      </w:r>
      <w:r w:rsidR="00693FF7">
        <w:rPr>
          <w:sz w:val="28"/>
        </w:rPr>
        <w:t>,</w:t>
      </w:r>
      <w:r w:rsidR="00721F1E">
        <w:rPr>
          <w:sz w:val="28"/>
        </w:rPr>
        <w:t xml:space="preserve"> а з 2013-2014 </w:t>
      </w:r>
      <w:proofErr w:type="spellStart"/>
      <w:r w:rsidR="00721F1E">
        <w:rPr>
          <w:sz w:val="28"/>
        </w:rPr>
        <w:t>н.р</w:t>
      </w:r>
      <w:proofErr w:type="spellEnd"/>
      <w:r w:rsidR="00721F1E">
        <w:rPr>
          <w:sz w:val="28"/>
        </w:rPr>
        <w:t xml:space="preserve">. </w:t>
      </w:r>
      <w:r w:rsidR="00693FF7">
        <w:rPr>
          <w:sz w:val="28"/>
        </w:rPr>
        <w:t xml:space="preserve">було започатковано </w:t>
      </w:r>
      <w:r w:rsidR="00721F1E">
        <w:rPr>
          <w:sz w:val="28"/>
        </w:rPr>
        <w:t>прове</w:t>
      </w:r>
      <w:r w:rsidR="00693FF7">
        <w:rPr>
          <w:sz w:val="28"/>
        </w:rPr>
        <w:t>дення</w:t>
      </w:r>
      <w:r w:rsidR="00721F1E">
        <w:rPr>
          <w:sz w:val="28"/>
        </w:rPr>
        <w:t xml:space="preserve"> тижн</w:t>
      </w:r>
      <w:r w:rsidR="008626D7">
        <w:rPr>
          <w:sz w:val="28"/>
        </w:rPr>
        <w:t>я</w:t>
      </w:r>
      <w:r w:rsidR="00721F1E">
        <w:rPr>
          <w:sz w:val="28"/>
        </w:rPr>
        <w:t xml:space="preserve"> фінансової грамотності.</w:t>
      </w:r>
      <w:r w:rsidR="00693FF7">
        <w:rPr>
          <w:sz w:val="28"/>
        </w:rPr>
        <w:t xml:space="preserve"> Т.М.</w:t>
      </w:r>
      <w:proofErr w:type="spellStart"/>
      <w:r w:rsidR="00693FF7">
        <w:rPr>
          <w:sz w:val="28"/>
        </w:rPr>
        <w:t>Шмаглій</w:t>
      </w:r>
      <w:proofErr w:type="spellEnd"/>
      <w:r w:rsidR="00693FF7">
        <w:rPr>
          <w:sz w:val="28"/>
        </w:rPr>
        <w:t xml:space="preserve"> </w:t>
      </w:r>
      <w:r w:rsidR="008626D7">
        <w:rPr>
          <w:sz w:val="28"/>
        </w:rPr>
        <w:t>надає</w:t>
      </w:r>
      <w:r w:rsidR="00693FF7">
        <w:rPr>
          <w:sz w:val="28"/>
        </w:rPr>
        <w:t xml:space="preserve"> звіт про проведення тижня фінансової грамотності д</w:t>
      </w:r>
      <w:r w:rsidR="008626D7">
        <w:rPr>
          <w:sz w:val="28"/>
        </w:rPr>
        <w:t>о</w:t>
      </w:r>
      <w:r w:rsidR="00693FF7">
        <w:rPr>
          <w:sz w:val="28"/>
        </w:rPr>
        <w:t xml:space="preserve"> Національного банку України. Про</w:t>
      </w:r>
      <w:r w:rsidR="008626D7">
        <w:rPr>
          <w:sz w:val="28"/>
        </w:rPr>
        <w:t>те, аналіз змісту</w:t>
      </w:r>
      <w:r w:rsidR="00693FF7">
        <w:rPr>
          <w:sz w:val="28"/>
        </w:rPr>
        <w:t xml:space="preserve"> стіннів</w:t>
      </w:r>
      <w:r w:rsidR="008626D7">
        <w:rPr>
          <w:sz w:val="28"/>
        </w:rPr>
        <w:t>ок</w:t>
      </w:r>
      <w:r w:rsidR="00693FF7">
        <w:rPr>
          <w:sz w:val="28"/>
        </w:rPr>
        <w:t>, підготовлен</w:t>
      </w:r>
      <w:r w:rsidR="008626D7">
        <w:rPr>
          <w:sz w:val="28"/>
        </w:rPr>
        <w:t>их</w:t>
      </w:r>
      <w:r w:rsidR="00693FF7">
        <w:rPr>
          <w:sz w:val="28"/>
        </w:rPr>
        <w:t xml:space="preserve"> учнями </w:t>
      </w:r>
      <w:r w:rsidR="008626D7">
        <w:rPr>
          <w:sz w:val="28"/>
        </w:rPr>
        <w:t>у межах проведення</w:t>
      </w:r>
      <w:r w:rsidR="00693FF7">
        <w:rPr>
          <w:sz w:val="28"/>
        </w:rPr>
        <w:t xml:space="preserve"> цьогорічного тижня</w:t>
      </w:r>
      <w:r w:rsidR="008626D7">
        <w:rPr>
          <w:sz w:val="28"/>
        </w:rPr>
        <w:t>, свідчить, що необхідно акцентувати увагу учнів на тому, що</w:t>
      </w:r>
      <w:r w:rsidR="00693FF7">
        <w:rPr>
          <w:sz w:val="28"/>
        </w:rPr>
        <w:t xml:space="preserve"> матеріали </w:t>
      </w:r>
      <w:r w:rsidR="008626D7">
        <w:rPr>
          <w:sz w:val="28"/>
        </w:rPr>
        <w:t>потрібно</w:t>
      </w:r>
      <w:r w:rsidR="00693FF7">
        <w:rPr>
          <w:sz w:val="28"/>
        </w:rPr>
        <w:t xml:space="preserve"> готувати мовою навчання та надавати </w:t>
      </w:r>
      <w:r w:rsidR="008626D7">
        <w:rPr>
          <w:sz w:val="28"/>
        </w:rPr>
        <w:t xml:space="preserve">посилання на джерело інформації, якщо вона була запозиченою. </w:t>
      </w:r>
    </w:p>
    <w:p w:rsidR="00A112D2" w:rsidRDefault="00F65B9E" w:rsidP="003343CA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У ході перевірки було також проаналізовано ведення шкільної документації: календарного плану, класних журналів. Встановлено, що вчитель знайомий зі змістом і пояснювальною запискою чинної програми, працює для забезпечення її виконання. Аналіз календарних планів показав, що їх зміст відповідає чинній програмі.</w:t>
      </w:r>
    </w:p>
    <w:p w:rsidR="00A112D2" w:rsidRDefault="004E481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   </w:t>
      </w:r>
      <w:r w:rsidR="00F65B9E">
        <w:rPr>
          <w:sz w:val="28"/>
        </w:rPr>
        <w:t xml:space="preserve">Класні журнали заповнюються своєчасно, але </w:t>
      </w:r>
      <w:r w:rsidR="00D11FB2">
        <w:rPr>
          <w:sz w:val="28"/>
        </w:rPr>
        <w:t xml:space="preserve">у </w:t>
      </w:r>
      <w:r w:rsidR="00F65B9E">
        <w:rPr>
          <w:sz w:val="28"/>
        </w:rPr>
        <w:t>записа</w:t>
      </w:r>
      <w:r w:rsidR="00D11FB2">
        <w:rPr>
          <w:sz w:val="28"/>
        </w:rPr>
        <w:t>х зазначено</w:t>
      </w:r>
      <w:r w:rsidR="00F65B9E">
        <w:rPr>
          <w:sz w:val="28"/>
        </w:rPr>
        <w:t xml:space="preserve"> не всі практичні роботи, а </w:t>
      </w:r>
      <w:r w:rsidR="00D11FB2">
        <w:rPr>
          <w:sz w:val="28"/>
        </w:rPr>
        <w:t>в графі для</w:t>
      </w:r>
      <w:r w:rsidR="00F65B9E">
        <w:rPr>
          <w:sz w:val="28"/>
        </w:rPr>
        <w:t xml:space="preserve"> домашнього завдання вказу</w:t>
      </w:r>
      <w:r>
        <w:rPr>
          <w:sz w:val="28"/>
        </w:rPr>
        <w:t>ю</w:t>
      </w:r>
      <w:r w:rsidR="00F65B9E">
        <w:rPr>
          <w:sz w:val="28"/>
        </w:rPr>
        <w:t>ться лише параграф</w:t>
      </w:r>
      <w:r w:rsidR="00D11FB2">
        <w:rPr>
          <w:sz w:val="28"/>
        </w:rPr>
        <w:t>, який необхідно опрацювати</w:t>
      </w:r>
      <w:r w:rsidR="00F65B9E">
        <w:rPr>
          <w:sz w:val="28"/>
        </w:rPr>
        <w:t>.</w:t>
      </w:r>
    </w:p>
    <w:p w:rsidR="003343CA" w:rsidRDefault="003343CA" w:rsidP="003343CA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 xml:space="preserve">Тетяна Михайлівна </w:t>
      </w:r>
      <w:r w:rsidR="00375B7D">
        <w:rPr>
          <w:sz w:val="28"/>
        </w:rPr>
        <w:t xml:space="preserve">як учитель математики </w:t>
      </w:r>
      <w:r>
        <w:rPr>
          <w:sz w:val="28"/>
        </w:rPr>
        <w:t xml:space="preserve">бере активну участь  у роботі ліцейської кафедри </w:t>
      </w:r>
      <w:r w:rsidR="00375B7D">
        <w:rPr>
          <w:sz w:val="28"/>
        </w:rPr>
        <w:t>в</w:t>
      </w:r>
      <w:r>
        <w:rPr>
          <w:sz w:val="28"/>
        </w:rPr>
        <w:t>чителів природничо-математичних дисциплін</w:t>
      </w:r>
      <w:r w:rsidR="00375B7D">
        <w:rPr>
          <w:sz w:val="28"/>
        </w:rPr>
        <w:t>. Однак, викладання предмету</w:t>
      </w:r>
      <w:r w:rsidR="004E481D">
        <w:rPr>
          <w:sz w:val="28"/>
        </w:rPr>
        <w:t xml:space="preserve"> «Економіка»</w:t>
      </w:r>
      <w:r w:rsidR="00375B7D">
        <w:rPr>
          <w:sz w:val="28"/>
        </w:rPr>
        <w:t xml:space="preserve"> не розглядалися на засіданнях ПК, також потребує уваги питання дослідної діяльності учнів із предмету, друку методичних знахідок учителя.</w:t>
      </w:r>
      <w:r>
        <w:rPr>
          <w:sz w:val="28"/>
        </w:rPr>
        <w:t xml:space="preserve"> </w:t>
      </w:r>
    </w:p>
    <w:p w:rsidR="00A112D2" w:rsidRDefault="00F65B9E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A112D2" w:rsidRDefault="00F65B9E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Рекомендації:</w:t>
      </w:r>
    </w:p>
    <w:p w:rsidR="00F005CC" w:rsidRPr="00F005CC" w:rsidRDefault="00F005CC">
      <w:pPr>
        <w:ind w:firstLine="708"/>
        <w:jc w:val="both"/>
        <w:rPr>
          <w:sz w:val="28"/>
        </w:rPr>
      </w:pPr>
      <w:r w:rsidRPr="00F005CC">
        <w:rPr>
          <w:sz w:val="28"/>
        </w:rPr>
        <w:t>Адміністрації:</w:t>
      </w:r>
    </w:p>
    <w:p w:rsidR="00F005CC" w:rsidRDefault="00F005CC" w:rsidP="002F030C">
      <w:pPr>
        <w:jc w:val="both"/>
        <w:rPr>
          <w:sz w:val="28"/>
          <w:szCs w:val="28"/>
        </w:rPr>
      </w:pPr>
      <w:r w:rsidRPr="00F005CC">
        <w:rPr>
          <w:sz w:val="28"/>
          <w:szCs w:val="28"/>
        </w:rPr>
        <w:t>1. передбачити підписку журналу «Економіка в школах України»</w:t>
      </w:r>
    </w:p>
    <w:p w:rsidR="002F030C" w:rsidRDefault="002F030C" w:rsidP="002F030C">
      <w:pPr>
        <w:ind w:firstLine="709"/>
        <w:jc w:val="both"/>
        <w:rPr>
          <w:sz w:val="28"/>
          <w:szCs w:val="28"/>
        </w:rPr>
      </w:pPr>
    </w:p>
    <w:p w:rsidR="00F005CC" w:rsidRDefault="00F005CC" w:rsidP="002F0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Голові кафедри </w:t>
      </w:r>
      <w:r w:rsidR="00643389">
        <w:rPr>
          <w:sz w:val="28"/>
          <w:szCs w:val="28"/>
        </w:rPr>
        <w:t>в</w:t>
      </w:r>
      <w:r>
        <w:rPr>
          <w:sz w:val="28"/>
          <w:szCs w:val="28"/>
        </w:rPr>
        <w:t>чителів природничо-математичних дисциплін:</w:t>
      </w:r>
    </w:p>
    <w:p w:rsidR="00F005CC" w:rsidRPr="002F030C" w:rsidRDefault="002F030C" w:rsidP="002F030C">
      <w:pPr>
        <w:pStyle w:val="a5"/>
        <w:numPr>
          <w:ilvl w:val="0"/>
          <w:numId w:val="10"/>
        </w:numPr>
        <w:ind w:left="284" w:hanging="284"/>
        <w:jc w:val="both"/>
        <w:rPr>
          <w:sz w:val="28"/>
        </w:rPr>
      </w:pPr>
      <w:r w:rsidRPr="002F030C">
        <w:rPr>
          <w:sz w:val="28"/>
        </w:rPr>
        <w:t>проаналізувати типові помилки, які допустили учні при написанні контрольних зрізів;</w:t>
      </w:r>
    </w:p>
    <w:p w:rsidR="00F005CC" w:rsidRDefault="002F030C" w:rsidP="002F030C">
      <w:pPr>
        <w:pStyle w:val="a5"/>
        <w:numPr>
          <w:ilvl w:val="0"/>
          <w:numId w:val="10"/>
        </w:numPr>
        <w:ind w:left="284" w:hanging="284"/>
        <w:jc w:val="both"/>
        <w:rPr>
          <w:sz w:val="28"/>
        </w:rPr>
      </w:pPr>
      <w:r w:rsidRPr="002F030C">
        <w:rPr>
          <w:sz w:val="28"/>
          <w:szCs w:val="28"/>
        </w:rPr>
        <w:t>а</w:t>
      </w:r>
      <w:r w:rsidRPr="002F030C">
        <w:rPr>
          <w:sz w:val="28"/>
        </w:rPr>
        <w:t xml:space="preserve">ктивізувати </w:t>
      </w:r>
      <w:r w:rsidR="00643389">
        <w:rPr>
          <w:sz w:val="28"/>
        </w:rPr>
        <w:t xml:space="preserve">науково-дослідну </w:t>
      </w:r>
      <w:r w:rsidRPr="002F030C">
        <w:rPr>
          <w:sz w:val="28"/>
        </w:rPr>
        <w:t xml:space="preserve">роботу з </w:t>
      </w:r>
      <w:r w:rsidR="00FA1BC6">
        <w:rPr>
          <w:sz w:val="28"/>
        </w:rPr>
        <w:t>учнями</w:t>
      </w:r>
      <w:r w:rsidRPr="002F030C">
        <w:rPr>
          <w:sz w:val="28"/>
        </w:rPr>
        <w:t>;</w:t>
      </w:r>
    </w:p>
    <w:p w:rsidR="002F030C" w:rsidRPr="002F030C" w:rsidRDefault="002F030C" w:rsidP="002F030C">
      <w:pPr>
        <w:pStyle w:val="a5"/>
        <w:numPr>
          <w:ilvl w:val="0"/>
          <w:numId w:val="10"/>
        </w:numPr>
        <w:ind w:left="284" w:hanging="284"/>
        <w:jc w:val="both"/>
        <w:rPr>
          <w:sz w:val="28"/>
        </w:rPr>
      </w:pPr>
      <w:r w:rsidRPr="002F030C">
        <w:rPr>
          <w:sz w:val="28"/>
        </w:rPr>
        <w:t xml:space="preserve">активізувати роботу </w:t>
      </w:r>
      <w:r w:rsidR="00324541">
        <w:rPr>
          <w:sz w:val="28"/>
        </w:rPr>
        <w:t>з</w:t>
      </w:r>
      <w:r w:rsidRPr="002F030C">
        <w:rPr>
          <w:sz w:val="28"/>
        </w:rPr>
        <w:t xml:space="preserve"> популяризації досвіду роботи та вчител</w:t>
      </w:r>
      <w:r w:rsidR="00324541">
        <w:rPr>
          <w:sz w:val="28"/>
        </w:rPr>
        <w:t>я</w:t>
      </w:r>
      <w:r w:rsidRPr="002F030C">
        <w:rPr>
          <w:sz w:val="28"/>
        </w:rPr>
        <w:t xml:space="preserve"> економіки на сторінках </w:t>
      </w:r>
      <w:r w:rsidR="00324541">
        <w:rPr>
          <w:sz w:val="28"/>
        </w:rPr>
        <w:t>друкованих видань.</w:t>
      </w:r>
    </w:p>
    <w:p w:rsidR="002F030C" w:rsidRDefault="002F030C" w:rsidP="002F030C">
      <w:pPr>
        <w:ind w:left="284" w:hanging="284"/>
        <w:rPr>
          <w:sz w:val="28"/>
        </w:rPr>
      </w:pPr>
    </w:p>
    <w:p w:rsidR="002F030C" w:rsidRDefault="002F030C" w:rsidP="002F030C">
      <w:pPr>
        <w:ind w:left="284" w:firstLine="425"/>
        <w:rPr>
          <w:sz w:val="28"/>
        </w:rPr>
      </w:pPr>
      <w:r>
        <w:rPr>
          <w:sz w:val="28"/>
        </w:rPr>
        <w:lastRenderedPageBreak/>
        <w:t>Учителю економіки:</w:t>
      </w:r>
    </w:p>
    <w:p w:rsidR="00A112D2" w:rsidRDefault="002F030C" w:rsidP="002F030C">
      <w:pPr>
        <w:pStyle w:val="a5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</w:rPr>
      </w:pPr>
      <w:r>
        <w:rPr>
          <w:sz w:val="28"/>
        </w:rPr>
        <w:t>п</w:t>
      </w:r>
      <w:r w:rsidR="00F65B9E">
        <w:rPr>
          <w:sz w:val="28"/>
        </w:rPr>
        <w:t>осилити практичну спрямованість уроків економіки</w:t>
      </w:r>
      <w:r>
        <w:rPr>
          <w:sz w:val="28"/>
        </w:rPr>
        <w:t>;</w:t>
      </w:r>
      <w:r w:rsidR="00F65B9E">
        <w:rPr>
          <w:sz w:val="28"/>
        </w:rPr>
        <w:t xml:space="preserve"> </w:t>
      </w:r>
    </w:p>
    <w:p w:rsidR="00A112D2" w:rsidRDefault="002F030C" w:rsidP="002F030C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</w:rPr>
      </w:pPr>
      <w:r>
        <w:rPr>
          <w:sz w:val="28"/>
        </w:rPr>
        <w:t>з</w:t>
      </w:r>
      <w:r w:rsidR="00F65B9E">
        <w:rPr>
          <w:sz w:val="28"/>
        </w:rPr>
        <w:t>алучати учнів до дослідницької роботи на уроках та позаурочний час</w:t>
      </w:r>
      <w:r w:rsidR="00F005CC">
        <w:rPr>
          <w:sz w:val="28"/>
        </w:rPr>
        <w:t xml:space="preserve"> (предметні конкурси)</w:t>
      </w:r>
      <w:r>
        <w:rPr>
          <w:sz w:val="28"/>
        </w:rPr>
        <w:t>;</w:t>
      </w:r>
    </w:p>
    <w:p w:rsidR="002F030C" w:rsidRPr="002F030C" w:rsidRDefault="002F030C" w:rsidP="002F030C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</w:rPr>
      </w:pPr>
      <w:r>
        <w:rPr>
          <w:sz w:val="28"/>
        </w:rPr>
        <w:t>використовувати в роботі е</w:t>
      </w:r>
      <w:r w:rsidRPr="002F030C">
        <w:rPr>
          <w:sz w:val="28"/>
          <w:szCs w:val="28"/>
        </w:rPr>
        <w:t>лектронний конструктор уроку</w:t>
      </w:r>
      <w:r>
        <w:rPr>
          <w:sz w:val="28"/>
          <w:szCs w:val="28"/>
        </w:rPr>
        <w:t xml:space="preserve"> з економіки;</w:t>
      </w:r>
    </w:p>
    <w:p w:rsidR="002F030C" w:rsidRPr="002F030C" w:rsidRDefault="002F030C" w:rsidP="002F030C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</w:rPr>
      </w:pPr>
      <w:r>
        <w:rPr>
          <w:sz w:val="28"/>
          <w:szCs w:val="28"/>
        </w:rPr>
        <w:t xml:space="preserve">забезпечити </w:t>
      </w:r>
      <w:r w:rsidR="00324541">
        <w:rPr>
          <w:sz w:val="28"/>
          <w:szCs w:val="28"/>
        </w:rPr>
        <w:t xml:space="preserve">візуальний </w:t>
      </w:r>
      <w:r>
        <w:rPr>
          <w:sz w:val="28"/>
          <w:szCs w:val="28"/>
        </w:rPr>
        <w:t>супровід навчального матеріалу, необхідного для проведення уроків (т</w:t>
      </w:r>
      <w:r w:rsidRPr="002F030C">
        <w:rPr>
          <w:sz w:val="28"/>
          <w:szCs w:val="28"/>
        </w:rPr>
        <w:t>аблиці, графіки, схеми</w:t>
      </w:r>
      <w:r>
        <w:rPr>
          <w:sz w:val="28"/>
          <w:szCs w:val="28"/>
        </w:rPr>
        <w:t>);</w:t>
      </w:r>
    </w:p>
    <w:p w:rsidR="00A112D2" w:rsidRDefault="002F030C" w:rsidP="0032454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</w:rPr>
      </w:pPr>
      <w:r w:rsidRPr="00324541">
        <w:rPr>
          <w:sz w:val="28"/>
          <w:szCs w:val="28"/>
        </w:rPr>
        <w:t>застосовувати міжпредметні зв’язки під ча</w:t>
      </w:r>
      <w:r w:rsidR="00324541">
        <w:rPr>
          <w:sz w:val="28"/>
          <w:szCs w:val="28"/>
        </w:rPr>
        <w:t>с викладання предмету економіки та в позакласній роботі</w:t>
      </w:r>
      <w:r w:rsidR="005D5785">
        <w:rPr>
          <w:sz w:val="28"/>
          <w:szCs w:val="28"/>
        </w:rPr>
        <w:t>;</w:t>
      </w:r>
      <w:r w:rsidR="00324541" w:rsidRPr="00324541">
        <w:rPr>
          <w:sz w:val="28"/>
        </w:rPr>
        <w:t xml:space="preserve"> </w:t>
      </w:r>
    </w:p>
    <w:p w:rsidR="00324541" w:rsidRDefault="00324541" w:rsidP="0032454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</w:rPr>
      </w:pPr>
      <w:r>
        <w:rPr>
          <w:sz w:val="28"/>
        </w:rPr>
        <w:t xml:space="preserve">вести записи в класних журналах із зазначенням </w:t>
      </w:r>
      <w:r w:rsidR="005D5785">
        <w:rPr>
          <w:sz w:val="28"/>
        </w:rPr>
        <w:t xml:space="preserve">усіх </w:t>
      </w:r>
      <w:r>
        <w:rPr>
          <w:sz w:val="28"/>
        </w:rPr>
        <w:t>прове</w:t>
      </w:r>
      <w:r w:rsidR="005D5785">
        <w:rPr>
          <w:sz w:val="28"/>
        </w:rPr>
        <w:t xml:space="preserve">дених контрольних видів роботи, та видів домашнього завдання. </w:t>
      </w:r>
    </w:p>
    <w:p w:rsidR="00A112D2" w:rsidRDefault="00A112D2">
      <w:pPr>
        <w:jc w:val="both"/>
        <w:rPr>
          <w:sz w:val="28"/>
        </w:rPr>
      </w:pPr>
    </w:p>
    <w:p w:rsidR="002F030C" w:rsidRDefault="002F030C">
      <w:pPr>
        <w:jc w:val="both"/>
        <w:rPr>
          <w:sz w:val="28"/>
        </w:rPr>
      </w:pPr>
      <w:r>
        <w:rPr>
          <w:sz w:val="28"/>
        </w:rPr>
        <w:t>Директор ліцею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Т.М.Шевчук</w:t>
      </w:r>
    </w:p>
    <w:p w:rsidR="00A112D2" w:rsidRDefault="00F65B9E">
      <w:pPr>
        <w:jc w:val="both"/>
        <w:rPr>
          <w:sz w:val="28"/>
        </w:rPr>
      </w:pPr>
      <w:r>
        <w:rPr>
          <w:sz w:val="28"/>
        </w:rPr>
        <w:t>Заступник директора з НВР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С.М.Сліпак</w:t>
      </w:r>
    </w:p>
    <w:p w:rsidR="00A112D2" w:rsidRDefault="00F65B9E">
      <w:pPr>
        <w:jc w:val="both"/>
        <w:rPr>
          <w:sz w:val="28"/>
        </w:rPr>
      </w:pPr>
      <w:r>
        <w:rPr>
          <w:sz w:val="28"/>
        </w:rPr>
        <w:t>Заступник директора з ВР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Т.М.Котляр</w:t>
      </w:r>
    </w:p>
    <w:p w:rsidR="00A112D2" w:rsidRDefault="00B60569">
      <w:pPr>
        <w:jc w:val="both"/>
        <w:rPr>
          <w:sz w:val="28"/>
        </w:rPr>
      </w:pPr>
      <w:r>
        <w:rPr>
          <w:sz w:val="28"/>
        </w:rPr>
        <w:t>Учитель предмету «Захист В</w:t>
      </w:r>
      <w:r w:rsidR="00F65B9E">
        <w:rPr>
          <w:sz w:val="28"/>
        </w:rPr>
        <w:t>ітчизни»</w:t>
      </w:r>
      <w:r w:rsidR="00F65B9E">
        <w:rPr>
          <w:sz w:val="28"/>
        </w:rPr>
        <w:tab/>
      </w:r>
      <w:r w:rsidR="00F65B9E">
        <w:rPr>
          <w:sz w:val="28"/>
        </w:rPr>
        <w:tab/>
      </w:r>
      <w:r w:rsidR="00F65B9E">
        <w:rPr>
          <w:sz w:val="28"/>
        </w:rPr>
        <w:tab/>
        <w:t>М.І.Петренко</w:t>
      </w:r>
    </w:p>
    <w:p w:rsidR="00A112D2" w:rsidRDefault="00F65B9E">
      <w:pPr>
        <w:jc w:val="both"/>
        <w:rPr>
          <w:sz w:val="28"/>
        </w:rPr>
      </w:pPr>
      <w:r>
        <w:rPr>
          <w:sz w:val="28"/>
        </w:rPr>
        <w:t>Вихователь ліцею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Н.О.Полянська</w:t>
      </w:r>
    </w:p>
    <w:p w:rsidR="00A112D2" w:rsidRDefault="00A112D2">
      <w:pPr>
        <w:jc w:val="both"/>
        <w:rPr>
          <w:sz w:val="28"/>
        </w:rPr>
      </w:pPr>
    </w:p>
    <w:p w:rsidR="00A112D2" w:rsidRDefault="00A112D2">
      <w:pPr>
        <w:jc w:val="both"/>
        <w:rPr>
          <w:sz w:val="28"/>
        </w:rPr>
      </w:pPr>
    </w:p>
    <w:p w:rsidR="00A112D2" w:rsidRDefault="00A112D2">
      <w:pPr>
        <w:jc w:val="both"/>
        <w:rPr>
          <w:sz w:val="28"/>
        </w:rPr>
      </w:pPr>
    </w:p>
    <w:p w:rsidR="00A112D2" w:rsidRDefault="00A112D2"/>
    <w:p w:rsidR="00A112D2" w:rsidRDefault="00A112D2">
      <w:pPr>
        <w:jc w:val="both"/>
        <w:rPr>
          <w:sz w:val="28"/>
        </w:rPr>
      </w:pPr>
    </w:p>
    <w:sectPr w:rsidR="00A112D2" w:rsidSect="000E331D">
      <w:pgSz w:w="11906" w:h="16838"/>
      <w:pgMar w:top="851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AA5"/>
    <w:multiLevelType w:val="multilevel"/>
    <w:tmpl w:val="726865A8"/>
    <w:lvl w:ilvl="0">
      <w:numFmt w:val="bullet"/>
      <w:lvlText w:val="-"/>
      <w:lvlJc w:val="left"/>
      <w:pPr>
        <w:ind w:left="135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">
    <w:nsid w:val="19A514BA"/>
    <w:multiLevelType w:val="hybridMultilevel"/>
    <w:tmpl w:val="EFDC85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E7F40"/>
    <w:multiLevelType w:val="multilevel"/>
    <w:tmpl w:val="F990A47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1.%2."/>
      <w:lvlJc w:val="left"/>
      <w:pPr>
        <w:ind w:left="735" w:hanging="435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020" w:hanging="72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740" w:hanging="1440"/>
      </w:pPr>
    </w:lvl>
    <w:lvl w:ilvl="7">
      <w:start w:val="1"/>
      <w:numFmt w:val="decimal"/>
      <w:lvlText w:val="%1.%2.%3.%4.%5.%6.%7.%8."/>
      <w:lvlJc w:val="left"/>
      <w:pPr>
        <w:ind w:left="1740" w:hanging="1440"/>
      </w:pPr>
    </w:lvl>
    <w:lvl w:ilvl="8">
      <w:start w:val="1"/>
      <w:numFmt w:val="decimal"/>
      <w:lvlText w:val="%1.%2.%3.%4.%5.%6.%7.%8.%9."/>
      <w:lvlJc w:val="left"/>
      <w:pPr>
        <w:ind w:left="2100" w:hanging="1800"/>
      </w:pPr>
    </w:lvl>
  </w:abstractNum>
  <w:abstractNum w:abstractNumId="3">
    <w:nsid w:val="30544053"/>
    <w:multiLevelType w:val="multilevel"/>
    <w:tmpl w:val="ED68481E"/>
    <w:lvl w:ilvl="0">
      <w:numFmt w:val="bullet"/>
      <w:lvlText w:val="-"/>
      <w:lvlJc w:val="left"/>
      <w:pPr>
        <w:ind w:left="90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4">
    <w:nsid w:val="44F40CEF"/>
    <w:multiLevelType w:val="multilevel"/>
    <w:tmpl w:val="E402BF82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5">
    <w:nsid w:val="49656A51"/>
    <w:multiLevelType w:val="multilevel"/>
    <w:tmpl w:val="D8E09B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>
    <w:nsid w:val="5432574A"/>
    <w:multiLevelType w:val="multilevel"/>
    <w:tmpl w:val="E9F283D2"/>
    <w:lvl w:ilvl="0">
      <w:start w:val="4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60" w:hanging="36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020" w:hanging="72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740" w:hanging="1440"/>
      </w:pPr>
    </w:lvl>
    <w:lvl w:ilvl="7">
      <w:start w:val="1"/>
      <w:numFmt w:val="decimal"/>
      <w:lvlText w:val="%1.%2.%3.%4.%5.%6.%7.%8."/>
      <w:lvlJc w:val="left"/>
      <w:pPr>
        <w:ind w:left="1740" w:hanging="1440"/>
      </w:pPr>
    </w:lvl>
    <w:lvl w:ilvl="8">
      <w:start w:val="1"/>
      <w:numFmt w:val="decimal"/>
      <w:lvlText w:val="%1.%2.%3.%4.%5.%6.%7.%8.%9."/>
      <w:lvlJc w:val="left"/>
      <w:pPr>
        <w:ind w:left="2100" w:hanging="1800"/>
      </w:pPr>
    </w:lvl>
  </w:abstractNum>
  <w:abstractNum w:abstractNumId="7">
    <w:nsid w:val="556306EA"/>
    <w:multiLevelType w:val="multilevel"/>
    <w:tmpl w:val="E7484D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8">
    <w:nsid w:val="650945D4"/>
    <w:multiLevelType w:val="multilevel"/>
    <w:tmpl w:val="12A0ED28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DD37D2E"/>
    <w:multiLevelType w:val="hybridMultilevel"/>
    <w:tmpl w:val="5A502D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2D2"/>
    <w:rsid w:val="000E331D"/>
    <w:rsid w:val="000F2D01"/>
    <w:rsid w:val="002F030C"/>
    <w:rsid w:val="00306813"/>
    <w:rsid w:val="00324541"/>
    <w:rsid w:val="003343CA"/>
    <w:rsid w:val="00375B7D"/>
    <w:rsid w:val="00376324"/>
    <w:rsid w:val="0045657E"/>
    <w:rsid w:val="0049217A"/>
    <w:rsid w:val="004E481D"/>
    <w:rsid w:val="005D5785"/>
    <w:rsid w:val="006164F4"/>
    <w:rsid w:val="00643389"/>
    <w:rsid w:val="00693FF7"/>
    <w:rsid w:val="0071643F"/>
    <w:rsid w:val="00721F1E"/>
    <w:rsid w:val="008626D7"/>
    <w:rsid w:val="00911DD4"/>
    <w:rsid w:val="0092764D"/>
    <w:rsid w:val="00A112D2"/>
    <w:rsid w:val="00B60569"/>
    <w:rsid w:val="00BD5C00"/>
    <w:rsid w:val="00BF03D3"/>
    <w:rsid w:val="00CA0DFC"/>
    <w:rsid w:val="00CB26BD"/>
    <w:rsid w:val="00D11FB2"/>
    <w:rsid w:val="00EB3E90"/>
    <w:rsid w:val="00F005CC"/>
    <w:rsid w:val="00F128F6"/>
    <w:rsid w:val="00F65B9E"/>
    <w:rsid w:val="00FA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31D"/>
    <w:rPr>
      <w:rFonts w:ascii="Times New Roman" w:hAnsi="Times New Roman"/>
    </w:rPr>
  </w:style>
  <w:style w:type="paragraph" w:styleId="1">
    <w:name w:val="heading 1"/>
    <w:rsid w:val="000E331D"/>
    <w:pPr>
      <w:jc w:val="center"/>
      <w:outlineLvl w:val="0"/>
    </w:pPr>
    <w:rPr>
      <w:rFonts w:ascii="Academy" w:hAnsi="Academy"/>
      <w:b/>
      <w:sz w:val="24"/>
    </w:rPr>
  </w:style>
  <w:style w:type="paragraph" w:styleId="2">
    <w:name w:val="heading 2"/>
    <w:rsid w:val="000E331D"/>
    <w:pPr>
      <w:jc w:val="center"/>
      <w:outlineLvl w:val="1"/>
    </w:pPr>
    <w:rPr>
      <w:rFonts w:ascii="Academy" w:hAnsi="Academy"/>
      <w:b/>
      <w:sz w:val="28"/>
    </w:rPr>
  </w:style>
  <w:style w:type="paragraph" w:styleId="5">
    <w:name w:val="heading 5"/>
    <w:rsid w:val="000E331D"/>
    <w:pPr>
      <w:jc w:val="center"/>
      <w:outlineLvl w:val="4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rsid w:val="000E331D"/>
    <w:pPr>
      <w:jc w:val="center"/>
    </w:pPr>
    <w:rPr>
      <w:rFonts w:ascii="Times New Roman" w:hAnsi="Times New Roman"/>
      <w:b/>
      <w:sz w:val="28"/>
    </w:rPr>
  </w:style>
  <w:style w:type="paragraph" w:styleId="a4">
    <w:name w:val="Balloon Text"/>
    <w:rsid w:val="000E331D"/>
    <w:rPr>
      <w:rFonts w:ascii="Tahoma" w:hAnsi="Tahoma"/>
      <w:sz w:val="16"/>
    </w:rPr>
  </w:style>
  <w:style w:type="paragraph" w:styleId="a5">
    <w:name w:val="List Paragraph"/>
    <w:rsid w:val="000E331D"/>
    <w:pPr>
      <w:ind w:left="720"/>
    </w:pPr>
    <w:rPr>
      <w:rFonts w:ascii="Times New Roman" w:hAnsi="Times New Roman"/>
    </w:rPr>
  </w:style>
  <w:style w:type="paragraph" w:styleId="3">
    <w:name w:val="Body Text 3"/>
    <w:rsid w:val="000E331D"/>
    <w:pPr>
      <w:spacing w:after="120"/>
    </w:pPr>
    <w:rPr>
      <w:rFonts w:ascii="Times New Roman" w:hAnsi="Times New Roman"/>
      <w:sz w:val="16"/>
    </w:rPr>
  </w:style>
  <w:style w:type="paragraph" w:styleId="a6">
    <w:name w:val="Body Text"/>
    <w:rsid w:val="000E331D"/>
    <w:pPr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</w:rPr>
  </w:style>
  <w:style w:type="paragraph" w:styleId="1">
    <w:name w:val="heading 1"/>
    <w:pPr>
      <w:jc w:val="center"/>
      <w:outlineLvl w:val="0"/>
    </w:pPr>
    <w:rPr>
      <w:rFonts w:ascii="Academy" w:hAnsi="Academy"/>
      <w:b/>
      <w:sz w:val="24"/>
    </w:rPr>
  </w:style>
  <w:style w:type="paragraph" w:styleId="2">
    <w:name w:val="heading 2"/>
    <w:pPr>
      <w:jc w:val="center"/>
      <w:outlineLvl w:val="1"/>
    </w:pPr>
    <w:rPr>
      <w:rFonts w:ascii="Academy" w:hAnsi="Academy"/>
      <w:b/>
      <w:sz w:val="28"/>
    </w:rPr>
  </w:style>
  <w:style w:type="paragraph" w:styleId="5">
    <w:name w:val="heading 5"/>
    <w:pPr>
      <w:jc w:val="center"/>
      <w:outlineLvl w:val="4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pPr>
      <w:jc w:val="center"/>
    </w:pPr>
    <w:rPr>
      <w:rFonts w:ascii="Times New Roman" w:hAnsi="Times New Roman"/>
      <w:b/>
      <w:sz w:val="28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List Paragraph"/>
    <w:pPr>
      <w:ind w:left="720"/>
    </w:pPr>
    <w:rPr>
      <w:rFonts w:ascii="Times New Roman" w:hAnsi="Times New Roman"/>
    </w:rPr>
  </w:style>
  <w:style w:type="paragraph" w:styleId="3">
    <w:name w:val="Body Text 3"/>
    <w:pPr>
      <w:spacing w:after="120"/>
    </w:pPr>
    <w:rPr>
      <w:rFonts w:ascii="Times New Roman" w:hAnsi="Times New Roman"/>
      <w:sz w:val="16"/>
    </w:rPr>
  </w:style>
  <w:style w:type="paragraph" w:styleId="a6">
    <w:name w:val="Body Text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по економіці (копия).docx</vt:lpstr>
    </vt:vector>
  </TitlesOfParts>
  <Company>SPecialiST RePack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по економіці (копия).docx</dc:title>
  <dc:creator>Наташа Ващенко</dc:creator>
  <cp:lastModifiedBy>Наташа Ващенко</cp:lastModifiedBy>
  <cp:revision>9</cp:revision>
  <cp:lastPrinted>2014-12-02T13:52:00Z</cp:lastPrinted>
  <dcterms:created xsi:type="dcterms:W3CDTF">2014-12-02T09:09:00Z</dcterms:created>
  <dcterms:modified xsi:type="dcterms:W3CDTF">2014-12-03T07:50:00Z</dcterms:modified>
</cp:coreProperties>
</file>