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13" w:rsidRPr="007054C6" w:rsidRDefault="00291F13" w:rsidP="00291F13">
      <w:pPr>
        <w:pStyle w:val="a7"/>
        <w:tabs>
          <w:tab w:val="left" w:pos="1701"/>
        </w:tabs>
        <w:jc w:val="center"/>
      </w:pPr>
      <w:r w:rsidRPr="007054C6">
        <w:rPr>
          <w:b/>
          <w:sz w:val="40"/>
          <w:szCs w:val="40"/>
        </w:rPr>
        <w:t>Звіт директора Ніжинського обласного педагогічного ліцею Чернігівської обласної ради  за 20</w:t>
      </w:r>
      <w:r w:rsidRPr="007054C6">
        <w:rPr>
          <w:b/>
          <w:sz w:val="40"/>
          <w:szCs w:val="40"/>
          <w:lang w:val="ru-RU"/>
        </w:rPr>
        <w:t>2</w:t>
      </w:r>
      <w:r w:rsidRPr="007054C6">
        <w:rPr>
          <w:b/>
          <w:sz w:val="40"/>
          <w:szCs w:val="40"/>
        </w:rPr>
        <w:t>1-2022 н р.</w:t>
      </w:r>
    </w:p>
    <w:p w:rsidR="007613AA" w:rsidRDefault="007613AA">
      <w:pPr>
        <w:pStyle w:val="a7"/>
        <w:tabs>
          <w:tab w:val="left" w:pos="1701"/>
        </w:tabs>
        <w:jc w:val="center"/>
        <w:rPr>
          <w:szCs w:val="28"/>
        </w:rPr>
      </w:pPr>
      <w:bookmarkStart w:id="0" w:name="_GoBack"/>
      <w:bookmarkEnd w:id="0"/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2021-2022 </w:t>
      </w:r>
      <w:proofErr w:type="spellStart"/>
      <w:r>
        <w:rPr>
          <w:rFonts w:eastAsia="Calibri"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 діяльність ліцею була спрямована на </w:t>
      </w:r>
      <w:r>
        <w:rPr>
          <w:rFonts w:eastAsia="Calibri"/>
          <w:sz w:val="28"/>
          <w:szCs w:val="28"/>
          <w:lang w:val="uk-UA" w:eastAsia="en-US"/>
        </w:rPr>
        <w:t>виконання законів України «Про освіту», «Про повну загальну середню освіту», Освітньої програми, плану роботи на 2021-2022 навчальний рік. Заклад працював над реалізацією системи забезпечення якості освітньої діяльності та якості освіти, продовжив роботу н</w:t>
      </w:r>
      <w:r>
        <w:rPr>
          <w:rFonts w:eastAsia="Calibri"/>
          <w:sz w:val="28"/>
          <w:szCs w:val="28"/>
          <w:lang w:val="uk-UA" w:eastAsia="en-US"/>
        </w:rPr>
        <w:t xml:space="preserve">ад науково-методичною темою ліцею «Соціалізація ліцеїстів в умовах профільної середньої освіти» та роботу :з формування життєвих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учнів. Основним завданням педагогічного колективу було забезпечення якісної освіти, створення необхідних умов д</w:t>
      </w:r>
      <w:r>
        <w:rPr>
          <w:rFonts w:eastAsia="Calibri"/>
          <w:sz w:val="28"/>
          <w:szCs w:val="28"/>
          <w:lang w:val="uk-UA" w:eastAsia="en-US"/>
        </w:rPr>
        <w:t>ля всебічного розвитку та соціалізації ліцеїстів в умовах викликів сучасності.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 закладі працювало 14 непедагогічних працівників, 41 педагогічний працівник, із них: 22 – «спеціаліст вищої категорії», 8 – «спеціаліст першої категорії», 4 – «спеціаліст друго</w:t>
      </w:r>
      <w:r>
        <w:rPr>
          <w:rFonts w:eastAsia="Calibri"/>
          <w:sz w:val="28"/>
          <w:szCs w:val="28"/>
          <w:lang w:val="uk-UA" w:eastAsia="en-US"/>
        </w:rPr>
        <w:t>ї категорії», 5 – «спеціаліст», 2 спеціалісти 12 тарифного розряду, 3 – доктори наук, професори кафедр НДУ імені Миколи Гоголя, 10 – кандидати наук, доценти кафедр НДУ імені Миколи Гоголя, 4 – відмінники освіти України, 11 – вчителі-методисти, 3 – старші в</w:t>
      </w:r>
      <w:r>
        <w:rPr>
          <w:rFonts w:eastAsia="Calibri"/>
          <w:sz w:val="28"/>
          <w:szCs w:val="28"/>
          <w:lang w:val="uk-UA" w:eastAsia="en-US"/>
        </w:rPr>
        <w:t xml:space="preserve">чителі, 4 – лауреати Премії Софії </w:t>
      </w:r>
      <w:proofErr w:type="spellStart"/>
      <w:r>
        <w:rPr>
          <w:rFonts w:eastAsia="Calibri"/>
          <w:sz w:val="28"/>
          <w:szCs w:val="28"/>
          <w:lang w:val="uk-UA" w:eastAsia="en-US"/>
        </w:rPr>
        <w:t>Русової</w:t>
      </w:r>
      <w:proofErr w:type="spellEnd"/>
      <w:r>
        <w:rPr>
          <w:rFonts w:eastAsia="Calibri"/>
          <w:sz w:val="28"/>
          <w:szCs w:val="28"/>
          <w:lang w:val="uk-UA" w:eastAsia="en-US"/>
        </w:rPr>
        <w:t>, 1 – лауреат премії Верховної Ради.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Методична та виховна робота, виконання планів, ведення документації узагальнено наказами по ліцею. За період із 01.09.2021 по 01.06.2022 було підготовлено наказів по ліцею – 302,</w:t>
      </w:r>
      <w:r>
        <w:rPr>
          <w:rFonts w:eastAsia="Calibri"/>
          <w:sz w:val="28"/>
          <w:szCs w:val="28"/>
          <w:lang w:val="uk-UA" w:eastAsia="en-US"/>
        </w:rPr>
        <w:t xml:space="preserve"> опрацьовано 371 вхідних та 348 вихідних документів. Згідно з планом роботи на 2021-2022 </w:t>
      </w:r>
      <w:proofErr w:type="spellStart"/>
      <w:r>
        <w:rPr>
          <w:rFonts w:eastAsia="Calibri"/>
          <w:sz w:val="28"/>
          <w:szCs w:val="28"/>
          <w:lang w:val="uk-UA" w:eastAsia="en-US"/>
        </w:rPr>
        <w:t>н.р</w:t>
      </w:r>
      <w:proofErr w:type="spellEnd"/>
      <w:r>
        <w:rPr>
          <w:rFonts w:eastAsia="Calibri"/>
          <w:sz w:val="28"/>
          <w:szCs w:val="28"/>
          <w:lang w:val="uk-UA" w:eastAsia="en-US"/>
        </w:rPr>
        <w:t>. проведено3 спільні засідання ПР і РЛ, 8 засідань ПР, 11 нарад при директорові, 4 засідання АК, по 4 – ПК та НМР. Під час карантинних обмежень та в умовах введення</w:t>
      </w:r>
      <w:r>
        <w:rPr>
          <w:rFonts w:eastAsia="Calibri"/>
          <w:sz w:val="28"/>
          <w:szCs w:val="28"/>
          <w:lang w:val="uk-UA" w:eastAsia="en-US"/>
        </w:rPr>
        <w:t xml:space="preserve"> військового стану адміністративні рішення доводились до працівників із використанням сайту ліцею, освітньої платформи G </w:t>
      </w:r>
      <w:proofErr w:type="spellStart"/>
      <w:r>
        <w:rPr>
          <w:rFonts w:eastAsia="Calibri"/>
          <w:sz w:val="28"/>
          <w:szCs w:val="28"/>
          <w:lang w:val="uk-UA" w:eastAsia="en-US"/>
        </w:rPr>
        <w:t>Suite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for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Education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 із застосуванням можливих засобів зв’язку. 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Із 21.03.2022р., тимчасово на період воєнного стану та виконання зах</w:t>
      </w:r>
      <w:r>
        <w:rPr>
          <w:rFonts w:eastAsia="Calibri"/>
          <w:sz w:val="28"/>
          <w:szCs w:val="28"/>
          <w:lang w:val="uk-UA" w:eastAsia="en-US"/>
        </w:rPr>
        <w:t>одів із забезпечення національної безпеки, для педагогів були змінені умови праці шляхом переведення їх на дистанційну форму роботи з віддаленим доступом до робочого місця та комп’ютера із дотриманням встановленого у ліцеї режиму праці та визначення їм роб</w:t>
      </w:r>
      <w:r>
        <w:rPr>
          <w:rFonts w:eastAsia="Calibri"/>
          <w:sz w:val="28"/>
          <w:szCs w:val="28"/>
          <w:lang w:val="uk-UA" w:eastAsia="en-US"/>
        </w:rPr>
        <w:t>очого місця за місцем їх фактичного перебування (5 педагогів перебувало за кордоном, 4 – за межами територіальної громади). Упродовж навчального року дистанційне навчання тривало 16 тижнів, було оголошено додатково три тижні канікул.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Адміністрацією було ви</w:t>
      </w:r>
      <w:r>
        <w:rPr>
          <w:rFonts w:eastAsia="Calibri"/>
          <w:sz w:val="28"/>
          <w:szCs w:val="28"/>
          <w:lang w:val="uk-UA" w:eastAsia="en-US"/>
        </w:rPr>
        <w:t>значено питання, які є ключовими: система забезпечення якості освітньої діяльності та якості освіти; безпека життєдіяльності учасників освітнього процесу; організація роботи в умовах воєнного стану, карантинних обмежень та із застосуванням технологій диста</w:t>
      </w:r>
      <w:r>
        <w:rPr>
          <w:rFonts w:eastAsia="Calibri"/>
          <w:sz w:val="28"/>
          <w:szCs w:val="28"/>
          <w:lang w:val="uk-UA" w:eastAsia="en-US"/>
        </w:rPr>
        <w:t xml:space="preserve">нційного навчання, харчування учнів, </w:t>
      </w:r>
      <w:proofErr w:type="spellStart"/>
      <w:r>
        <w:rPr>
          <w:rFonts w:eastAsia="Calibri"/>
          <w:sz w:val="28"/>
          <w:szCs w:val="28"/>
          <w:lang w:val="uk-UA" w:eastAsia="en-US"/>
        </w:rPr>
        <w:t>медико-педагогічний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контроль за фізичним вихованням; атестація педагогічних працівників; підвищення кваліфікації педагогів; науково-методичний та психологічний супровід освітнього процесу; науково-методична робота педаг</w:t>
      </w:r>
      <w:r>
        <w:rPr>
          <w:rFonts w:eastAsia="Calibri"/>
          <w:sz w:val="28"/>
          <w:szCs w:val="28"/>
          <w:lang w:val="uk-UA" w:eastAsia="en-US"/>
        </w:rPr>
        <w:t>огів; робота з обдарованими учнями; діяльність учнівського самоврядування та Ради профілактики; співпраця з батьківською радою та благодійним фондом «</w:t>
      </w:r>
      <w:proofErr w:type="spellStart"/>
      <w:r>
        <w:rPr>
          <w:rFonts w:eastAsia="Calibri"/>
          <w:sz w:val="28"/>
          <w:szCs w:val="28"/>
          <w:lang w:val="uk-UA" w:eastAsia="en-US"/>
        </w:rPr>
        <w:t>Ніжен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». Найбільша увага приділялась питанню організації освітнього процесу під час дистанційного навчання </w:t>
      </w:r>
      <w:r>
        <w:rPr>
          <w:rFonts w:eastAsia="Calibri"/>
          <w:sz w:val="28"/>
          <w:szCs w:val="28"/>
          <w:lang w:val="uk-UA" w:eastAsia="en-US"/>
        </w:rPr>
        <w:t>та забезпечення психолого-педагогічного супроводу учасників освітнього процесу в умовах воєнного стану.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Протягом року діяли чотири предметні кафедри, основним завданням яких було удосконалення методики проведення освітніх заходів та фахової майстерності.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</w:pPr>
      <w:r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 xml:space="preserve">продовж року педагоги та учні були учасниками науково-практичних конференцій, семінарів,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вебінарів</w:t>
      </w:r>
      <w:proofErr w:type="spellEnd"/>
      <w:r>
        <w:rPr>
          <w:rFonts w:eastAsia="Calibri"/>
          <w:sz w:val="28"/>
          <w:szCs w:val="28"/>
          <w:lang w:val="uk-UA" w:eastAsia="en-US"/>
        </w:rPr>
        <w:t>, марафонів, фестивалів, конкурсів, творчих проєктів різних рівнів. Особлива увага приділялась поширенню педагогічного досвіду за межі закладу:, маємо 20 публ</w:t>
      </w:r>
      <w:r>
        <w:rPr>
          <w:rFonts w:eastAsia="Calibri"/>
          <w:sz w:val="28"/>
          <w:szCs w:val="28"/>
          <w:lang w:val="uk-UA" w:eastAsia="en-US"/>
        </w:rPr>
        <w:t xml:space="preserve">ікацій педагогів та 4 публікації учнів під керівництвом учителів, видрукувано Науково-методичний Вісник ліцею </w:t>
      </w:r>
      <w:r>
        <w:rPr>
          <w:rFonts w:eastAsia="Calibri"/>
          <w:sz w:val="28"/>
          <w:szCs w:val="28"/>
          <w:lang w:val="uk-UA" w:eastAsia="en-US"/>
        </w:rPr>
        <w:lastRenderedPageBreak/>
        <w:t xml:space="preserve">№2(20),№1 (21), підготовлено електронну версію ХVІІ збірки учнівських поезій «Стежка до Шевченка». 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Протягом навчального року вчителі ліцею були </w:t>
      </w:r>
      <w:proofErr w:type="spellStart"/>
      <w:r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ьюторами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адміністраторами, модераторами, </w:t>
      </w:r>
      <w:proofErr w:type="spellStart"/>
      <w:r>
        <w:rPr>
          <w:rFonts w:eastAsia="Calibri"/>
          <w:sz w:val="28"/>
          <w:szCs w:val="28"/>
          <w:lang w:val="uk-UA" w:eastAsia="en-US"/>
        </w:rPr>
        <w:t>фасилітаторами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доповідачами, членами журі різних конкурсів, зокрема входили до складу журі конкурсу-захисту науково-дослідницьких робіт МАНУ – Н. Бойко (обласний етап), Ю. Давиденко, </w:t>
      </w:r>
      <w:proofErr w:type="spellStart"/>
      <w:r>
        <w:rPr>
          <w:rFonts w:eastAsia="Calibri"/>
          <w:sz w:val="28"/>
          <w:szCs w:val="28"/>
          <w:lang w:val="uk-UA" w:eastAsia="en-US"/>
        </w:rPr>
        <w:t>О. Капле</w:t>
      </w:r>
      <w:proofErr w:type="spellEnd"/>
      <w:r>
        <w:rPr>
          <w:rFonts w:eastAsia="Calibri"/>
          <w:sz w:val="28"/>
          <w:szCs w:val="28"/>
          <w:lang w:val="uk-UA" w:eastAsia="en-US"/>
        </w:rPr>
        <w:t>нко (міський етап); Л.</w:t>
      </w:r>
      <w:r>
        <w:rPr>
          <w:rFonts w:eastAsia="Calibri"/>
          <w:sz w:val="28"/>
          <w:szCs w:val="28"/>
          <w:lang w:val="uk-UA" w:eastAsia="en-US"/>
        </w:rPr>
        <w:t xml:space="preserve"> Павлюк, Л. Петренко, Н. Фесенко, </w:t>
      </w:r>
      <w:proofErr w:type="spellStart"/>
      <w:r>
        <w:rPr>
          <w:rFonts w:eastAsia="Calibri"/>
          <w:sz w:val="28"/>
          <w:szCs w:val="28"/>
          <w:lang w:val="uk-UA" w:eastAsia="en-US"/>
        </w:rPr>
        <w:t>Т. Шмаг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лій – до складу журі всеукраїнських учнівських предметних олімпіад (обласний етап); В. Харченко був </w:t>
      </w:r>
      <w:proofErr w:type="spellStart"/>
      <w:r>
        <w:rPr>
          <w:rFonts w:eastAsia="Calibri"/>
          <w:sz w:val="28"/>
          <w:szCs w:val="28"/>
          <w:lang w:val="uk-UA" w:eastAsia="en-US"/>
        </w:rPr>
        <w:t>тьютором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Чернігівської </w:t>
      </w:r>
      <w:proofErr w:type="spellStart"/>
      <w:r>
        <w:rPr>
          <w:rFonts w:eastAsia="Calibri"/>
          <w:sz w:val="28"/>
          <w:szCs w:val="28"/>
          <w:lang w:val="uk-UA" w:eastAsia="en-US"/>
        </w:rPr>
        <w:t>Інтернет-школи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«Юний програміст; Л. Павлюк – </w:t>
      </w:r>
      <w:proofErr w:type="spellStart"/>
      <w:r>
        <w:rPr>
          <w:rFonts w:eastAsia="Calibri"/>
          <w:sz w:val="28"/>
          <w:szCs w:val="28"/>
          <w:lang w:val="uk-UA" w:eastAsia="en-US"/>
        </w:rPr>
        <w:t>фасилітатором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спільного проєкту МОНУ та Британс</w:t>
      </w:r>
      <w:r>
        <w:rPr>
          <w:rFonts w:eastAsia="Calibri"/>
          <w:sz w:val="28"/>
          <w:szCs w:val="28"/>
          <w:lang w:val="uk-UA" w:eastAsia="en-US"/>
        </w:rPr>
        <w:t>ької Ради в Україні «Професійний розвиток вчителя іноземної мови» на міжнародній ОТС платформі Британської ради по програмі підвищення кваліфікації вчителів англійської мови закладів базової середньої освіти, які навчають учнів 5-9 класів в умовах реформув</w:t>
      </w:r>
      <w:r>
        <w:rPr>
          <w:rFonts w:eastAsia="Calibri"/>
          <w:sz w:val="28"/>
          <w:szCs w:val="28"/>
          <w:lang w:val="uk-UA" w:eastAsia="en-US"/>
        </w:rPr>
        <w:t xml:space="preserve">ання іншомовної галузі освіти відповідно до положень Концепції «Нова українська школа». 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Завершило навчальний рік 178 учнів, із них 22 ліцеїсти брали участь в освітньому процесі, перебуваючи за кордоном (14 випускників), 4 – за межами територіальної громад</w:t>
      </w:r>
      <w:r>
        <w:rPr>
          <w:rFonts w:eastAsia="Calibri"/>
          <w:sz w:val="28"/>
          <w:szCs w:val="28"/>
          <w:lang w:val="uk-UA" w:eastAsia="en-US"/>
        </w:rPr>
        <w:t>и. За результатами річного оцінювання 160 учнів, що складає 90%, закінчили навчальний рік на високому та достатньому рівнях, 18 (10%) учнів – на середньому, 26 ліцеїстів нагороджено Похвальним листом, 69 – Похвальною грамотою, 7 – Золотою та 7 – Срібною ме</w:t>
      </w:r>
      <w:r>
        <w:rPr>
          <w:rFonts w:eastAsia="Calibri"/>
          <w:sz w:val="28"/>
          <w:szCs w:val="28"/>
          <w:lang w:val="uk-UA" w:eastAsia="en-US"/>
        </w:rPr>
        <w:t>далями., 45 батькам оголошено подяку за високі досягнення у навчанні учнів. Для підготовки до складання НМТ упродовж червня 2022 року було організовано проведення консультацій із математики, української мови, історії України. 5 учнів склали НМТ 2022 на 200</w:t>
      </w:r>
      <w:r>
        <w:rPr>
          <w:rFonts w:eastAsia="Calibri"/>
          <w:sz w:val="28"/>
          <w:szCs w:val="28"/>
          <w:lang w:val="uk-UA" w:eastAsia="en-US"/>
        </w:rPr>
        <w:t xml:space="preserve"> балів, 2 з них із двох предметів (В. Бойко з історії України (вчитель О. </w:t>
      </w:r>
      <w:proofErr w:type="spellStart"/>
      <w:r>
        <w:rPr>
          <w:rFonts w:eastAsia="Calibri"/>
          <w:sz w:val="28"/>
          <w:szCs w:val="28"/>
          <w:lang w:val="uk-UA" w:eastAsia="en-US"/>
        </w:rPr>
        <w:t>Рябцева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), М.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Примоченко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 української мови (вчитель А. </w:t>
      </w:r>
      <w:proofErr w:type="spellStart"/>
      <w:r>
        <w:rPr>
          <w:rFonts w:eastAsia="Calibri"/>
          <w:sz w:val="28"/>
          <w:szCs w:val="28"/>
          <w:lang w:val="uk-UA" w:eastAsia="en-US"/>
        </w:rPr>
        <w:t>Кайдаш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), І. Страшна з математики (вчитель Т. </w:t>
      </w:r>
      <w:proofErr w:type="spellStart"/>
      <w:r>
        <w:rPr>
          <w:rFonts w:eastAsia="Calibri"/>
          <w:sz w:val="28"/>
          <w:szCs w:val="28"/>
          <w:lang w:val="uk-UA" w:eastAsia="en-US"/>
        </w:rPr>
        <w:t>Шмаглій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), Я. </w:t>
      </w:r>
      <w:proofErr w:type="spellStart"/>
      <w:r>
        <w:rPr>
          <w:rFonts w:eastAsia="Calibri"/>
          <w:sz w:val="28"/>
          <w:szCs w:val="28"/>
          <w:lang w:val="uk-UA" w:eastAsia="en-US"/>
        </w:rPr>
        <w:t>Яловська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 математики (вчитель С. Карпенко) та історії України (вчите</w:t>
      </w:r>
      <w:r>
        <w:rPr>
          <w:rFonts w:eastAsia="Calibri"/>
          <w:sz w:val="28"/>
          <w:szCs w:val="28"/>
          <w:lang w:val="uk-UA" w:eastAsia="en-US"/>
        </w:rPr>
        <w:t xml:space="preserve">ль Л. Дудка), К. </w:t>
      </w:r>
      <w:proofErr w:type="spellStart"/>
      <w:r>
        <w:rPr>
          <w:rFonts w:eastAsia="Calibri"/>
          <w:sz w:val="28"/>
          <w:szCs w:val="28"/>
          <w:lang w:val="uk-UA" w:eastAsia="en-US"/>
        </w:rPr>
        <w:t>Булда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 математики (вчитель С. Карпенко) та історії України (вчитель О. </w:t>
      </w:r>
      <w:proofErr w:type="spellStart"/>
      <w:r>
        <w:rPr>
          <w:rFonts w:eastAsia="Calibri"/>
          <w:sz w:val="28"/>
          <w:szCs w:val="28"/>
          <w:lang w:val="uk-UA" w:eastAsia="en-US"/>
        </w:rPr>
        <w:t>Рябцева</w:t>
      </w:r>
      <w:proofErr w:type="spellEnd"/>
      <w:r>
        <w:rPr>
          <w:rFonts w:eastAsia="Calibri"/>
          <w:sz w:val="28"/>
          <w:szCs w:val="28"/>
          <w:lang w:val="uk-UA" w:eastAsia="en-US"/>
        </w:rPr>
        <w:t>))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Для здійснення внутрішнього моніторингу якості освіти у I семестрі вивчався рівень навчальних досягнень учнів шляхом проведення директорських контрольних роб</w:t>
      </w:r>
      <w:r>
        <w:rPr>
          <w:rFonts w:eastAsia="Calibri"/>
          <w:sz w:val="28"/>
          <w:szCs w:val="28"/>
          <w:lang w:val="uk-UA" w:eastAsia="en-US"/>
        </w:rPr>
        <w:t>іт у формі ЗНО: з української мови та літератури в усіх класах; у математичних класах – із математики (алгебра та геометрія); з історії України – у класах української філології; з англійської мови – у класах іноземної філології. У зв’язку з відміною провед</w:t>
      </w:r>
      <w:r>
        <w:rPr>
          <w:rFonts w:eastAsia="Calibri"/>
          <w:sz w:val="28"/>
          <w:szCs w:val="28"/>
          <w:lang w:val="uk-UA" w:eastAsia="en-US"/>
        </w:rPr>
        <w:t xml:space="preserve">ення навчальної практики у ІІ семестрі ДКР не проводилися. Упродовж року вивчався стан викладання та рівень навчальних досягнень учнів з технологій, захисту України, біології та екології, англійської мови. Результати узагальнені наказами по ліцею. 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Згідно </w:t>
      </w:r>
      <w:r>
        <w:rPr>
          <w:rFonts w:eastAsia="Calibri"/>
          <w:sz w:val="28"/>
          <w:szCs w:val="28"/>
          <w:lang w:val="uk-UA" w:eastAsia="en-US"/>
        </w:rPr>
        <w:t>з планом роботи ліцею організовано та проведено ліцейський етап всеукраїнських олімпіад із навчальних дисциплін, результати узагальнені наказом по ліцею (від 29.02.2022р. №41-Н). Сім учнів стали призерами ІІІ етапу, отримавши: 1 диплом І ступеня ( екологія</w:t>
      </w:r>
      <w:r>
        <w:rPr>
          <w:rFonts w:eastAsia="Calibri"/>
          <w:sz w:val="28"/>
          <w:szCs w:val="28"/>
          <w:lang w:val="uk-UA" w:eastAsia="en-US"/>
        </w:rPr>
        <w:t>, В. Іванова,</w:t>
      </w:r>
      <w:bookmarkStart w:id="1" w:name="__DdeLink__815_478098880"/>
      <w:r>
        <w:rPr>
          <w:rFonts w:eastAsia="Calibri"/>
          <w:sz w:val="28"/>
          <w:szCs w:val="28"/>
          <w:lang w:val="uk-UA" w:eastAsia="en-US"/>
        </w:rPr>
        <w:t xml:space="preserve"> вчитель</w:t>
      </w:r>
      <w:bookmarkEnd w:id="1"/>
      <w:r>
        <w:rPr>
          <w:rFonts w:eastAsia="Calibri"/>
          <w:sz w:val="28"/>
          <w:szCs w:val="28"/>
          <w:lang w:val="uk-UA" w:eastAsia="en-US"/>
        </w:rPr>
        <w:t xml:space="preserve"> С. Сліпак), 1 диплом ІІ ступеня (екологія, В. Шевченко, вчитель С. Сліпак), 5 дипломів ІІІ ступеня (українська мова та література, С. </w:t>
      </w:r>
      <w:proofErr w:type="spellStart"/>
      <w:r>
        <w:rPr>
          <w:rFonts w:eastAsia="Calibri"/>
          <w:sz w:val="28"/>
          <w:szCs w:val="28"/>
          <w:lang w:val="uk-UA" w:eastAsia="en-US"/>
        </w:rPr>
        <w:t>Гречуха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вчителі В. Хомич, Ю. Бондаренко; математика, Р.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Малецький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вчитель Т. </w:t>
      </w:r>
      <w:proofErr w:type="spellStart"/>
      <w:r>
        <w:rPr>
          <w:rFonts w:eastAsia="Calibri"/>
          <w:sz w:val="28"/>
          <w:szCs w:val="28"/>
          <w:lang w:val="uk-UA" w:eastAsia="en-US"/>
        </w:rPr>
        <w:t>Шмаглій</w:t>
      </w:r>
      <w:proofErr w:type="spellEnd"/>
      <w:r>
        <w:rPr>
          <w:rFonts w:eastAsia="Calibri"/>
          <w:sz w:val="28"/>
          <w:szCs w:val="28"/>
          <w:lang w:val="uk-UA" w:eastAsia="en-US"/>
        </w:rPr>
        <w:t>, Л. Бойко, ні</w:t>
      </w:r>
      <w:r>
        <w:rPr>
          <w:rFonts w:eastAsia="Calibri"/>
          <w:sz w:val="28"/>
          <w:szCs w:val="28"/>
          <w:lang w:val="uk-UA" w:eastAsia="en-US"/>
        </w:rPr>
        <w:t xml:space="preserve">мецька мова, О. </w:t>
      </w:r>
      <w:proofErr w:type="spellStart"/>
      <w:r>
        <w:rPr>
          <w:rFonts w:eastAsia="Calibri"/>
          <w:sz w:val="28"/>
          <w:szCs w:val="28"/>
          <w:lang w:val="uk-UA" w:eastAsia="en-US"/>
        </w:rPr>
        <w:t>Шимко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вчитель Н. Фесенко, географія, А. Руденко, </w:t>
      </w:r>
      <w:proofErr w:type="spellStart"/>
      <w:r>
        <w:rPr>
          <w:rFonts w:eastAsia="Calibri"/>
          <w:sz w:val="28"/>
          <w:szCs w:val="28"/>
          <w:lang w:val="uk-UA" w:eastAsia="en-US"/>
        </w:rPr>
        <w:t>В. Єсипе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нко, вчитель І. </w:t>
      </w:r>
      <w:proofErr w:type="spellStart"/>
      <w:r>
        <w:rPr>
          <w:rFonts w:eastAsia="Calibri"/>
          <w:sz w:val="28"/>
          <w:szCs w:val="28"/>
          <w:lang w:val="uk-UA" w:eastAsia="en-US"/>
        </w:rPr>
        <w:t>Гах</w:t>
      </w:r>
      <w:proofErr w:type="spellEnd"/>
      <w:r>
        <w:rPr>
          <w:rFonts w:eastAsia="Calibri"/>
          <w:sz w:val="28"/>
          <w:szCs w:val="28"/>
          <w:lang w:val="uk-UA" w:eastAsia="en-US"/>
        </w:rPr>
        <w:t>). Протягом семестру учні були учасниками Всеукраїнської дистанційної олімпіади «</w:t>
      </w:r>
      <w:proofErr w:type="spellStart"/>
      <w:r>
        <w:rPr>
          <w:rFonts w:eastAsia="Calibri"/>
          <w:sz w:val="28"/>
          <w:szCs w:val="28"/>
          <w:lang w:val="uk-UA" w:eastAsia="en-US"/>
        </w:rPr>
        <w:t>Всеосвіта</w:t>
      </w:r>
      <w:proofErr w:type="spellEnd"/>
      <w:r>
        <w:rPr>
          <w:rFonts w:eastAsia="Calibri"/>
          <w:sz w:val="28"/>
          <w:szCs w:val="28"/>
          <w:lang w:val="uk-UA" w:eastAsia="en-US"/>
        </w:rPr>
        <w:t>», Всеукраїнської Інтернет – олімпіади «На урок».</w:t>
      </w:r>
    </w:p>
    <w:p w:rsidR="007613AA" w:rsidRPr="00291F13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Продовжило свою роботу </w:t>
      </w:r>
      <w:r>
        <w:rPr>
          <w:rFonts w:eastAsia="Calibri"/>
          <w:sz w:val="28"/>
          <w:szCs w:val="28"/>
          <w:lang w:val="uk-UA" w:eastAsia="en-US"/>
        </w:rPr>
        <w:t xml:space="preserve">ліцейське наукове товариство «Інтелектуал» (керівник С. Сліпак), до складу якого входило 33 учні. На ІІ етапі конкурсу-захисту МАНУ 9 учасників стали переможцями, а саме: диплом І ступеня – 1 учень (Р. </w:t>
      </w:r>
      <w:proofErr w:type="spellStart"/>
      <w:r>
        <w:rPr>
          <w:rFonts w:eastAsia="Calibri"/>
          <w:sz w:val="28"/>
          <w:szCs w:val="28"/>
          <w:lang w:val="uk-UA" w:eastAsia="en-US"/>
        </w:rPr>
        <w:t>Кривуця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н.к</w:t>
      </w:r>
      <w:proofErr w:type="spellEnd"/>
      <w:r>
        <w:rPr>
          <w:rFonts w:eastAsia="Calibri"/>
          <w:sz w:val="28"/>
          <w:szCs w:val="28"/>
          <w:lang w:val="uk-UA" w:eastAsia="en-US"/>
        </w:rPr>
        <w:t>. Л. Кузьменко), ІІ ступеня – 5 (Ю. Зінче</w:t>
      </w:r>
      <w:r>
        <w:rPr>
          <w:rFonts w:eastAsia="Calibri"/>
          <w:sz w:val="28"/>
          <w:szCs w:val="28"/>
          <w:lang w:val="uk-UA" w:eastAsia="en-US"/>
        </w:rPr>
        <w:t xml:space="preserve">нко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н.к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val="uk-UA" w:eastAsia="en-US"/>
        </w:rPr>
        <w:t>О. Дудче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нко; М.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Примоченко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О. </w:t>
      </w:r>
      <w:proofErr w:type="spellStart"/>
      <w:r>
        <w:rPr>
          <w:rFonts w:eastAsia="Calibri"/>
          <w:sz w:val="28"/>
          <w:szCs w:val="28"/>
          <w:lang w:val="uk-UA" w:eastAsia="en-US"/>
        </w:rPr>
        <w:t>Капленко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; Р.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Малецький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Ю. </w:t>
      </w:r>
      <w:proofErr w:type="spellStart"/>
      <w:r>
        <w:rPr>
          <w:rFonts w:eastAsia="Calibri"/>
          <w:sz w:val="28"/>
          <w:szCs w:val="28"/>
          <w:lang w:val="uk-UA" w:eastAsia="en-US"/>
        </w:rPr>
        <w:t>Дерід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; А. Гаряча – Л. Дудка, Л. Хомич – М. </w:t>
      </w:r>
      <w:proofErr w:type="spellStart"/>
      <w:r>
        <w:rPr>
          <w:rFonts w:eastAsia="Calibri"/>
          <w:sz w:val="28"/>
          <w:szCs w:val="28"/>
          <w:lang w:val="uk-UA" w:eastAsia="en-US"/>
        </w:rPr>
        <w:t>Потапенко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), ІІІ ступеня – 3 (А.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Кондращенко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н.к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 Ю. Давиденко; В.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Прощенко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Д.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Н. </w:t>
      </w:r>
      <w:proofErr w:type="spellStart"/>
      <w:r>
        <w:rPr>
          <w:rFonts w:eastAsia="Calibri"/>
          <w:sz w:val="28"/>
          <w:szCs w:val="28"/>
          <w:lang w:val="uk-UA" w:eastAsia="en-US"/>
        </w:rPr>
        <w:t>Івахно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), одна учениця стала учасником ІІІ етапу </w:t>
      </w:r>
      <w:r>
        <w:rPr>
          <w:rFonts w:eastAsia="Calibri"/>
          <w:sz w:val="28"/>
          <w:szCs w:val="28"/>
          <w:lang w:val="uk-UA" w:eastAsia="en-US"/>
        </w:rPr>
        <w:t xml:space="preserve">(Л.Хомич), троє - отримали дипломи ІІІ ступеня (Р. </w:t>
      </w:r>
      <w:proofErr w:type="spellStart"/>
      <w:r>
        <w:rPr>
          <w:rFonts w:eastAsia="Calibri"/>
          <w:sz w:val="28"/>
          <w:szCs w:val="28"/>
          <w:lang w:val="uk-UA" w:eastAsia="en-US"/>
        </w:rPr>
        <w:t>Кривуця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М.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Примоченко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>, А. Гаряча).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Успішно працює наукове товариство «Юних філологів» (керівник </w:t>
      </w:r>
      <w:proofErr w:type="spellStart"/>
      <w:r>
        <w:rPr>
          <w:rFonts w:eastAsia="Calibri"/>
          <w:sz w:val="28"/>
          <w:szCs w:val="28"/>
          <w:lang w:val="uk-UA" w:eastAsia="en-US"/>
        </w:rPr>
        <w:t>А. Кай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даш). Дистанційно було проведено ХVІІ Регіональний конкурс учнівської творчості «Стежка до Шевченка». </w:t>
      </w:r>
      <w:r>
        <w:rPr>
          <w:rFonts w:eastAsia="Calibri"/>
          <w:sz w:val="28"/>
          <w:szCs w:val="28"/>
          <w:lang w:val="uk-UA" w:eastAsia="en-US"/>
        </w:rPr>
        <w:t>Сорок два учасники представили свою творчість у віковій категорії «Середні класи» та «Старші класи» в номінації «Поезія», «Старші класи» в номінації «Проза» та в окремій номінації «За наполегливість в освоєнні поетичних ланів». За результатами конкурсу пер</w:t>
      </w:r>
      <w:r>
        <w:rPr>
          <w:rFonts w:eastAsia="Calibri"/>
          <w:sz w:val="28"/>
          <w:szCs w:val="28"/>
          <w:lang w:val="uk-UA" w:eastAsia="en-US"/>
        </w:rPr>
        <w:t>еможці та учасники отримали дипломи та сертифікати, їм надіслано електронний варіант збірника поезій.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Виховна робота в класних колективах була забезпечена психологічним супроводом й організована з урахуванням індивідуальних здібностей, інтересів, потреб уч</w:t>
      </w:r>
      <w:r>
        <w:rPr>
          <w:rFonts w:eastAsia="Calibri"/>
          <w:sz w:val="28"/>
          <w:szCs w:val="28"/>
          <w:lang w:val="uk-UA" w:eastAsia="en-US"/>
        </w:rPr>
        <w:t>нів та вимог воєнного стану в країні. Важливим аспектом стали громадянсько-патріотичний та профорієнтаційний аспекти виховної роботи. Упродовж навчального року були проведені згідно з планом роботи та Календарем пам'ятних дат численні заходи.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Із 21.03.2022</w:t>
      </w:r>
      <w:r>
        <w:rPr>
          <w:rFonts w:eastAsia="Calibri"/>
          <w:sz w:val="28"/>
          <w:szCs w:val="28"/>
          <w:lang w:val="uk-UA" w:eastAsia="en-US"/>
        </w:rPr>
        <w:t xml:space="preserve">р. виховні заходи проводились в </w:t>
      </w:r>
      <w:proofErr w:type="spellStart"/>
      <w:r>
        <w:rPr>
          <w:rFonts w:eastAsia="Calibri"/>
          <w:sz w:val="28"/>
          <w:szCs w:val="28"/>
          <w:lang w:val="uk-UA" w:eastAsia="en-US"/>
        </w:rPr>
        <w:t>онлайн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режимі, зокрема: </w:t>
      </w:r>
    </w:p>
    <w:p w:rsidR="007613AA" w:rsidRDefault="00291F1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віртуальна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постерів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мапою</w:t>
      </w:r>
      <w:proofErr w:type="spellEnd"/>
      <w:r>
        <w:rPr>
          <w:sz w:val="28"/>
          <w:szCs w:val="28"/>
        </w:rPr>
        <w:t xml:space="preserve"> думок «</w:t>
      </w:r>
      <w:proofErr w:type="spellStart"/>
      <w:r>
        <w:rPr>
          <w:sz w:val="28"/>
          <w:szCs w:val="28"/>
        </w:rPr>
        <w:t>Європейські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»;</w:t>
      </w:r>
    </w:p>
    <w:p w:rsidR="007613AA" w:rsidRDefault="00291F1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</w:t>
      </w:r>
      <w:proofErr w:type="gram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проєктів «</w:t>
      </w:r>
      <w:proofErr w:type="spellStart"/>
      <w:r>
        <w:rPr>
          <w:sz w:val="28"/>
          <w:szCs w:val="28"/>
        </w:rPr>
        <w:t>Поважаю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будую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Україну</w:t>
      </w:r>
      <w:proofErr w:type="spellEnd"/>
      <w:r>
        <w:rPr>
          <w:sz w:val="28"/>
          <w:szCs w:val="28"/>
        </w:rPr>
        <w:t>»;</w:t>
      </w:r>
    </w:p>
    <w:p w:rsidR="007613AA" w:rsidRDefault="00291F1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відеоролик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(до Дня </w:t>
      </w:r>
      <w:proofErr w:type="spellStart"/>
      <w:r>
        <w:rPr>
          <w:sz w:val="28"/>
          <w:szCs w:val="28"/>
        </w:rPr>
        <w:t>вишиванки</w:t>
      </w:r>
      <w:proofErr w:type="spellEnd"/>
      <w:r>
        <w:rPr>
          <w:sz w:val="28"/>
          <w:szCs w:val="28"/>
        </w:rPr>
        <w:t xml:space="preserve">, Дня </w:t>
      </w:r>
      <w:proofErr w:type="spellStart"/>
      <w:r>
        <w:rPr>
          <w:sz w:val="28"/>
          <w:szCs w:val="28"/>
        </w:rPr>
        <w:t>Гідності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свободи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Повертайтеся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>!»);</w:t>
      </w:r>
    </w:p>
    <w:p w:rsidR="007613AA" w:rsidRDefault="00291F1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віртуальні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подорожі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>;</w:t>
      </w:r>
    </w:p>
    <w:p w:rsidR="007613AA" w:rsidRDefault="00291F1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інтелектуальні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7613AA" w:rsidRDefault="00291F1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 w:eastAsia="en-US"/>
        </w:rPr>
        <w:t>тематичні заходи до Дня Європи, до річниці аварії на Чорнобильській А</w:t>
      </w:r>
      <w:r>
        <w:rPr>
          <w:sz w:val="28"/>
          <w:szCs w:val="28"/>
        </w:rPr>
        <w:t>ЕС.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Було проведено підсумки конкурсу “Ліцейський Олімп”, </w:t>
      </w:r>
      <w:r>
        <w:rPr>
          <w:rFonts w:eastAsia="Calibri"/>
          <w:sz w:val="28"/>
          <w:szCs w:val="28"/>
          <w:lang w:val="uk-UA" w:eastAsia="en-US"/>
        </w:rPr>
        <w:t xml:space="preserve">визначено претендентів на нагородження в номінаціях: </w:t>
      </w:r>
      <w:proofErr w:type="spellStart"/>
      <w:r>
        <w:rPr>
          <w:rFonts w:eastAsia="Calibri"/>
          <w:sz w:val="28"/>
          <w:szCs w:val="28"/>
          <w:lang w:val="uk-UA" w:eastAsia="en-US"/>
        </w:rPr>
        <w:t>Кривуця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Роман – відповідальність року, Зінченко Юлія – відкриття року, </w:t>
      </w:r>
      <w:proofErr w:type="spellStart"/>
      <w:r>
        <w:rPr>
          <w:rFonts w:eastAsia="Calibri"/>
          <w:sz w:val="28"/>
          <w:szCs w:val="28"/>
          <w:lang w:val="uk-UA" w:eastAsia="en-US"/>
        </w:rPr>
        <w:t>Резвін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Катерина – майстриня року, Каїка Інна – старанність року, Хомич Лада – краєзнавець року,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Примоченко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Марина – співачка року, </w:t>
      </w:r>
      <w:proofErr w:type="spellStart"/>
      <w:r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рощенко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Вероніка – майстер поетичного слова року, Карпенко </w:t>
      </w:r>
      <w:r>
        <w:rPr>
          <w:rFonts w:eastAsia="Calibri"/>
          <w:sz w:val="28"/>
          <w:szCs w:val="28"/>
          <w:lang w:val="uk-UA" w:eastAsia="en-US"/>
        </w:rPr>
        <w:lastRenderedPageBreak/>
        <w:t xml:space="preserve">Артур – активіст року,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Кондращенко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Аліна – художник року, </w:t>
      </w:r>
      <w:proofErr w:type="spellStart"/>
      <w:r>
        <w:rPr>
          <w:rFonts w:eastAsia="Calibri"/>
          <w:sz w:val="28"/>
          <w:szCs w:val="28"/>
          <w:lang w:val="uk-UA" w:eastAsia="en-US"/>
        </w:rPr>
        <w:t>Лесенко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Софія – фотограф року, Приходько Світлана – спортсмен року, </w:t>
      </w:r>
      <w:proofErr w:type="spellStart"/>
      <w:r>
        <w:rPr>
          <w:rFonts w:eastAsia="Calibri"/>
          <w:sz w:val="28"/>
          <w:szCs w:val="28"/>
          <w:lang w:val="uk-UA" w:eastAsia="en-US"/>
        </w:rPr>
        <w:t>Дворська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Яна – хореограф року, Шевченко Валерія – старанність року,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Мал</w:t>
      </w:r>
      <w:r>
        <w:rPr>
          <w:rFonts w:eastAsia="Calibri"/>
          <w:sz w:val="28"/>
          <w:szCs w:val="28"/>
          <w:lang w:val="uk-UA" w:eastAsia="en-US"/>
        </w:rPr>
        <w:t>ецький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Роман – гордість ліцею, Іванова Вікторія – надія року..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 результатами року рішенням спільного засідання ПР та РЛ рекомендовано нагородити: Сліпак Світлану Михайлівну – заступника директора з НВР – Почесною грамотою Міністерства освіти і науки Укра</w:t>
      </w:r>
      <w:r>
        <w:rPr>
          <w:rFonts w:eastAsia="Calibri"/>
          <w:sz w:val="28"/>
          <w:szCs w:val="28"/>
          <w:lang w:val="uk-UA" w:eastAsia="en-US"/>
        </w:rPr>
        <w:t>їни за сумлінну працю, професіоналізм, вагомий внесок у справу навчання й виховання підростаючого покоління, Почесною грамотою Управління освіти і науки Чернігівської обласної державної адміністрації за вагомий внесок у справу навчання й виховання підроста</w:t>
      </w:r>
      <w:r>
        <w:rPr>
          <w:rFonts w:eastAsia="Calibri"/>
          <w:sz w:val="28"/>
          <w:szCs w:val="28"/>
          <w:lang w:val="uk-UA" w:eastAsia="en-US"/>
        </w:rPr>
        <w:t xml:space="preserve">ючого покоління: </w:t>
      </w:r>
      <w:proofErr w:type="spellStart"/>
      <w:r>
        <w:rPr>
          <w:rFonts w:eastAsia="Calibri"/>
          <w:sz w:val="28"/>
          <w:szCs w:val="28"/>
          <w:lang w:val="uk-UA" w:eastAsia="en-US"/>
        </w:rPr>
        <w:t>Гах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Інну Михайлівну – вчителя географії, </w:t>
      </w:r>
      <w:proofErr w:type="spellStart"/>
      <w:r>
        <w:rPr>
          <w:rFonts w:eastAsia="Calibri"/>
          <w:sz w:val="28"/>
          <w:szCs w:val="28"/>
          <w:lang w:val="uk-UA" w:eastAsia="en-US"/>
        </w:rPr>
        <w:t>Дерід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Юлію Юріївну – вчителя фізики та астрономі,. Дудку Ларису Олексіївну – вчителя історії, </w:t>
      </w:r>
      <w:proofErr w:type="spellStart"/>
      <w:r>
        <w:rPr>
          <w:rFonts w:eastAsia="Calibri"/>
          <w:sz w:val="28"/>
          <w:szCs w:val="28"/>
          <w:lang w:val="uk-UA" w:eastAsia="en-US"/>
        </w:rPr>
        <w:t>Івахно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Наталію Олексіївну – вчителя української мови і літератури, </w:t>
      </w:r>
      <w:proofErr w:type="spellStart"/>
      <w:r>
        <w:rPr>
          <w:rFonts w:eastAsia="Calibri"/>
          <w:sz w:val="28"/>
          <w:szCs w:val="28"/>
          <w:lang w:val="uk-UA" w:eastAsia="en-US"/>
        </w:rPr>
        <w:t>Потапенка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Максима Васильовича – керів</w:t>
      </w:r>
      <w:r>
        <w:rPr>
          <w:rFonts w:eastAsia="Calibri"/>
          <w:sz w:val="28"/>
          <w:szCs w:val="28"/>
          <w:lang w:val="uk-UA" w:eastAsia="en-US"/>
        </w:rPr>
        <w:t xml:space="preserve">ника гуртка, Фесенко Наталію Миколаївну – вчителя німецької мови, Хомич Вікторію Іванівну – вчителя української мови, </w:t>
      </w:r>
      <w:proofErr w:type="spellStart"/>
      <w:r>
        <w:rPr>
          <w:rFonts w:eastAsia="Calibri"/>
          <w:sz w:val="28"/>
          <w:szCs w:val="28"/>
          <w:lang w:val="uk-UA" w:eastAsia="en-US"/>
        </w:rPr>
        <w:t>Шмаглій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Тетяну Михайлівну – вчителя математики.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Протягом року покращено матеріально-технічну базу закладу, придбано предмети, матеріали, о</w:t>
      </w:r>
      <w:r>
        <w:rPr>
          <w:rFonts w:eastAsia="Calibri"/>
          <w:sz w:val="28"/>
          <w:szCs w:val="28"/>
          <w:lang w:val="uk-UA" w:eastAsia="en-US"/>
        </w:rPr>
        <w:t>бладнання та інвентар. За рахунок коштів загального фонду бюджету профінансовано витрати на загальну суму 9775,5 тис. грн. , зокрема, предмети, матеріали, обладнання та інвентар – 88,8 тис. грн., медикаменти для кабінету медсестри –33,7 тис. грн.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Надходжен</w:t>
      </w:r>
      <w:r>
        <w:rPr>
          <w:rFonts w:eastAsia="Calibri"/>
          <w:sz w:val="28"/>
          <w:szCs w:val="28"/>
          <w:lang w:val="uk-UA" w:eastAsia="en-US"/>
        </w:rPr>
        <w:t>ня плати за надані додаткові освітні послуги на спеціальний рахунок становили 165,1 тис. грн. Використання коштів спеціального фонду – 159,2 тис. грн. (заробітна плата – 149,2 тис. грн.;, оплата послуг – 3,6 тис. грн. («Інтернет»);, енергоносії (тепло, еле</w:t>
      </w:r>
      <w:r>
        <w:rPr>
          <w:rFonts w:eastAsia="Calibri"/>
          <w:sz w:val="28"/>
          <w:szCs w:val="28"/>
          <w:lang w:val="uk-UA" w:eastAsia="en-US"/>
        </w:rPr>
        <w:t>ктроенергія, вода ) – 6,4 тис. грн.)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Отримано благодійної допомоги – 100,6 тис. грн., в т.ч. в натуральній формі 63,1 тис. грн.: </w:t>
      </w:r>
      <w:proofErr w:type="spellStart"/>
      <w:r>
        <w:rPr>
          <w:rFonts w:eastAsia="Calibri"/>
          <w:sz w:val="28"/>
          <w:szCs w:val="28"/>
          <w:lang w:val="uk-UA" w:eastAsia="en-US"/>
        </w:rPr>
        <w:t>термопот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STALGAST 751192 – 3,9 тис. грн. грн. мікрохвильові печі SAMSUNG VS23R3614AS/BW – 6,4 тис. грн., БФП </w:t>
      </w:r>
      <w:proofErr w:type="spellStart"/>
      <w:r>
        <w:rPr>
          <w:rFonts w:eastAsia="Calibri"/>
          <w:sz w:val="28"/>
          <w:szCs w:val="28"/>
          <w:lang w:val="uk-UA" w:eastAsia="en-US"/>
        </w:rPr>
        <w:t>струменевий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HP </w:t>
      </w:r>
      <w:proofErr w:type="spellStart"/>
      <w:r>
        <w:rPr>
          <w:rFonts w:eastAsia="Calibri"/>
          <w:sz w:val="28"/>
          <w:szCs w:val="28"/>
          <w:lang w:val="uk-UA" w:eastAsia="en-US"/>
        </w:rPr>
        <w:t>Des</w:t>
      </w:r>
      <w:r>
        <w:rPr>
          <w:rFonts w:eastAsia="Calibri"/>
          <w:sz w:val="28"/>
          <w:szCs w:val="28"/>
          <w:lang w:val="uk-UA" w:eastAsia="en-US"/>
        </w:rPr>
        <w:t>kJet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2710 з Wi-Fi – 2,1 тис. грн., точки доступу </w:t>
      </w:r>
      <w:proofErr w:type="spellStart"/>
      <w:r>
        <w:rPr>
          <w:rFonts w:eastAsia="Calibri"/>
          <w:sz w:val="28"/>
          <w:szCs w:val="28"/>
          <w:lang w:val="uk-UA" w:eastAsia="en-US"/>
        </w:rPr>
        <w:t>Ubiquiti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lastRenderedPageBreak/>
        <w:t>Unifi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6 </w:t>
      </w:r>
      <w:proofErr w:type="spellStart"/>
      <w:r>
        <w:rPr>
          <w:rFonts w:eastAsia="Calibri"/>
          <w:sz w:val="28"/>
          <w:szCs w:val="28"/>
          <w:lang w:val="uk-UA" w:eastAsia="en-US"/>
        </w:rPr>
        <w:t>Lite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19,9 тис. грн., точки доступу </w:t>
      </w:r>
      <w:proofErr w:type="spellStart"/>
      <w:r>
        <w:rPr>
          <w:rFonts w:eastAsia="Calibri"/>
          <w:sz w:val="28"/>
          <w:szCs w:val="28"/>
          <w:lang w:val="uk-UA" w:eastAsia="en-US"/>
        </w:rPr>
        <w:t>Ubiquiti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Unifi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6 </w:t>
      </w:r>
      <w:proofErr w:type="spellStart"/>
      <w:r>
        <w:rPr>
          <w:rFonts w:eastAsia="Calibri"/>
          <w:sz w:val="28"/>
          <w:szCs w:val="28"/>
          <w:lang w:val="uk-UA" w:eastAsia="en-US"/>
        </w:rPr>
        <w:t>Lite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18,1 тис. грн., гумові килимки – 0,4 тис. грн.; пилосос – 3,0 тис. грн.; благодійна допомога вчителям, що проводили заняття в ШМЛ</w:t>
      </w:r>
      <w:r>
        <w:rPr>
          <w:rFonts w:eastAsia="Calibri"/>
          <w:sz w:val="28"/>
          <w:szCs w:val="28"/>
          <w:lang w:val="uk-UA" w:eastAsia="en-US"/>
        </w:rPr>
        <w:t xml:space="preserve"> – 7,2 тис. грн.; відра – 0,2 тис. грн.; плакат – 0,4 тис. грн.; лампи </w:t>
      </w:r>
      <w:proofErr w:type="spellStart"/>
      <w:r>
        <w:rPr>
          <w:rFonts w:eastAsia="Calibri"/>
          <w:sz w:val="28"/>
          <w:szCs w:val="28"/>
          <w:lang w:val="uk-UA" w:eastAsia="en-US"/>
        </w:rPr>
        <w:t>світлодіодні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1,5 тис. грн. 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Використано благодійної допомоги в грошовій формі : 47,0 тис. грн. (ліцензування кабінету медсестри – 2,3 тис. грн. оплата точки доступу TP-</w:t>
      </w:r>
      <w:proofErr w:type="spellStart"/>
      <w:r>
        <w:rPr>
          <w:rFonts w:eastAsia="Calibri"/>
          <w:sz w:val="28"/>
          <w:szCs w:val="28"/>
          <w:lang w:val="uk-UA" w:eastAsia="en-US"/>
        </w:rPr>
        <w:t>link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EAP245, ко</w:t>
      </w:r>
      <w:r>
        <w:rPr>
          <w:rFonts w:eastAsia="Calibri"/>
          <w:sz w:val="28"/>
          <w:szCs w:val="28"/>
          <w:lang w:val="uk-UA" w:eastAsia="en-US"/>
        </w:rPr>
        <w:t>мутатор TP-</w:t>
      </w:r>
      <w:proofErr w:type="spellStart"/>
      <w:r>
        <w:rPr>
          <w:rFonts w:eastAsia="Calibri"/>
          <w:sz w:val="28"/>
          <w:szCs w:val="28"/>
          <w:lang w:val="uk-UA" w:eastAsia="en-US"/>
        </w:rPr>
        <w:t>link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TL –S91218MP – 20,0 тис. грн., телекомунікаційні кабелі, короби – 4,7 тис. грн., оплата послуги з побудови, створення та впровадження локальної мережі доступу до Internet – 20,0 тис. грн.</w:t>
      </w:r>
    </w:p>
    <w:p w:rsidR="007613AA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</w:pPr>
      <w:r>
        <w:rPr>
          <w:rFonts w:eastAsia="Calibri"/>
          <w:sz w:val="28"/>
          <w:szCs w:val="28"/>
          <w:lang w:val="uk-UA" w:eastAsia="en-US"/>
        </w:rPr>
        <w:t>Станом на 01.06.2022 р. залишок коштів на рахунку бл</w:t>
      </w:r>
      <w:r>
        <w:rPr>
          <w:rFonts w:eastAsia="Calibri"/>
          <w:sz w:val="28"/>
          <w:szCs w:val="28"/>
          <w:lang w:val="uk-UA" w:eastAsia="en-US"/>
        </w:rPr>
        <w:t>агодійного фонду «</w:t>
      </w:r>
      <w:proofErr w:type="spellStart"/>
      <w:r>
        <w:rPr>
          <w:rFonts w:eastAsia="Calibri"/>
          <w:sz w:val="28"/>
          <w:szCs w:val="28"/>
          <w:lang w:val="uk-UA" w:eastAsia="en-US"/>
        </w:rPr>
        <w:t>Ніжен</w:t>
      </w:r>
      <w:proofErr w:type="spellEnd"/>
      <w:r>
        <w:rPr>
          <w:rFonts w:eastAsia="Calibri"/>
          <w:sz w:val="28"/>
          <w:szCs w:val="28"/>
          <w:lang w:val="uk-UA" w:eastAsia="en-US"/>
        </w:rPr>
        <w:t>» становить 23712,38 грн., на благодійному рахунку в казначействі – 45168,84 грн., на спеціальному рахунку (додаткові освітні послуги) – 25 053,46 грн.</w:t>
      </w:r>
    </w:p>
    <w:p w:rsidR="007613AA" w:rsidRPr="00291F13" w:rsidRDefault="00291F13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Результати аналізу роботи ліцею свідчать про сплановану, системну та потенційну р</w:t>
      </w:r>
      <w:r>
        <w:rPr>
          <w:rFonts w:eastAsia="Calibri"/>
          <w:sz w:val="28"/>
          <w:szCs w:val="28"/>
          <w:lang w:val="uk-UA" w:eastAsia="en-US"/>
        </w:rPr>
        <w:t xml:space="preserve">оботу колективу. Разом із тим, слід відмітити, що деякі питання потребують особливої уваги, зокрема, питання забезпечення якості освіти в умовах дистанційної форми роботи та забезпечення безпеки усіх учасників освітнього процесу в умовах військового стану </w:t>
      </w:r>
      <w:r>
        <w:rPr>
          <w:rFonts w:eastAsia="Calibri"/>
          <w:sz w:val="28"/>
          <w:szCs w:val="28"/>
          <w:lang w:val="uk-UA" w:eastAsia="en-US"/>
        </w:rPr>
        <w:t>в країні.</w:t>
      </w:r>
    </w:p>
    <w:sectPr w:rsidR="007613AA" w:rsidRPr="00291F13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DD6"/>
    <w:multiLevelType w:val="multilevel"/>
    <w:tmpl w:val="5B6CB4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1B48D7"/>
    <w:multiLevelType w:val="multilevel"/>
    <w:tmpl w:val="33021D1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AA"/>
    <w:rsid w:val="00291F13"/>
    <w:rsid w:val="007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0"/>
    <w:qFormat/>
    <w:pPr>
      <w:outlineLvl w:val="1"/>
    </w:pPr>
  </w:style>
  <w:style w:type="paragraph" w:styleId="4">
    <w:name w:val="heading 4"/>
    <w:basedOn w:val="a"/>
    <w:qFormat/>
    <w:pPr>
      <w:keepNext/>
      <w:jc w:val="center"/>
      <w:outlineLvl w:val="3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нак"/>
    <w:basedOn w:val="a1"/>
    <w:qFormat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Основной текст_"/>
    <w:basedOn w:val="a1"/>
    <w:qFormat/>
    <w:rPr>
      <w:rFonts w:ascii="Times New Roman" w:eastAsia="Times New Roman" w:hAnsi="Times New Roman" w:cs="Times New Roman"/>
      <w:sz w:val="21"/>
      <w:szCs w:val="21"/>
      <w:highlight w:val="white"/>
    </w:rPr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HTML">
    <w:name w:val="Стандартний HTML Знак"/>
    <w:basedOn w:val="a1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Times New Roman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Times New Roman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Times New Roman"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Times New Roman"/>
      <w:sz w:val="2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Times New Roman"/>
      <w:sz w:val="28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ListLabel125">
    <w:name w:val="ListLabel 125"/>
    <w:qFormat/>
    <w:rPr>
      <w:rFonts w:cs="Times New Roman"/>
      <w:sz w:val="28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8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Calibri"/>
      <w:sz w:val="2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217">
    <w:name w:val="ListLabel 217"/>
    <w:qFormat/>
    <w:rPr>
      <w:rFonts w:ascii="Times New Roman" w:hAnsi="Times New Roman"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Wingdings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Wingdings"/>
      <w:sz w:val="28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  <w:sz w:val="28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Wingdings"/>
      <w:sz w:val="28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8"/>
      <w:szCs w:val="20"/>
      <w:lang w:val="uk-U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qFormat/>
    <w:pPr>
      <w:spacing w:before="280" w:after="280"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Текст в заданном формате"/>
    <w:basedOn w:val="a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0"/>
    <w:qFormat/>
    <w:pPr>
      <w:outlineLvl w:val="1"/>
    </w:pPr>
  </w:style>
  <w:style w:type="paragraph" w:styleId="4">
    <w:name w:val="heading 4"/>
    <w:basedOn w:val="a"/>
    <w:qFormat/>
    <w:pPr>
      <w:keepNext/>
      <w:jc w:val="center"/>
      <w:outlineLvl w:val="3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нак"/>
    <w:basedOn w:val="a1"/>
    <w:qFormat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Основной текст_"/>
    <w:basedOn w:val="a1"/>
    <w:qFormat/>
    <w:rPr>
      <w:rFonts w:ascii="Times New Roman" w:eastAsia="Times New Roman" w:hAnsi="Times New Roman" w:cs="Times New Roman"/>
      <w:sz w:val="21"/>
      <w:szCs w:val="21"/>
      <w:highlight w:val="white"/>
    </w:rPr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HTML">
    <w:name w:val="Стандартний HTML Знак"/>
    <w:basedOn w:val="a1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Times New Roman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Times New Roman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Times New Roman"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Times New Roman"/>
      <w:sz w:val="2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Times New Roman"/>
      <w:sz w:val="28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ListLabel125">
    <w:name w:val="ListLabel 125"/>
    <w:qFormat/>
    <w:rPr>
      <w:rFonts w:cs="Times New Roman"/>
      <w:sz w:val="28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8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Calibri"/>
      <w:sz w:val="2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217">
    <w:name w:val="ListLabel 217"/>
    <w:qFormat/>
    <w:rPr>
      <w:rFonts w:ascii="Times New Roman" w:hAnsi="Times New Roman"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Wingdings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Wingdings"/>
      <w:sz w:val="28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  <w:sz w:val="28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Wingdings"/>
      <w:sz w:val="28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8"/>
      <w:szCs w:val="20"/>
      <w:lang w:val="uk-U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qFormat/>
    <w:pPr>
      <w:spacing w:before="280" w:after="280"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Текст в заданном формате"/>
    <w:basedOn w:val="a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8256</Words>
  <Characters>4706</Characters>
  <Application>Microsoft Office Word</Application>
  <DocSecurity>0</DocSecurity>
  <Lines>39</Lines>
  <Paragraphs>25</Paragraphs>
  <ScaleCrop>false</ScaleCrop>
  <Company>НОПЛ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Мария</cp:lastModifiedBy>
  <cp:revision>5</cp:revision>
  <cp:lastPrinted>2021-06-10T09:04:00Z</cp:lastPrinted>
  <dcterms:created xsi:type="dcterms:W3CDTF">2022-10-03T12:01:00Z</dcterms:created>
  <dcterms:modified xsi:type="dcterms:W3CDTF">2022-10-04T09:41:00Z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